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D40A" w14:textId="77777777" w:rsidR="006E45D7" w:rsidRDefault="006E45D7" w:rsidP="006E45D7">
      <w:pPr>
        <w:outlineLvl w:val="0"/>
        <w:rPr>
          <w:b/>
          <w:szCs w:val="24"/>
        </w:rPr>
      </w:pPr>
      <w:r>
        <w:rPr>
          <w:b/>
          <w:szCs w:val="24"/>
        </w:rPr>
        <w:t>TURABIAN FORM</w:t>
      </w:r>
    </w:p>
    <w:p w14:paraId="5AA07A18" w14:textId="77777777" w:rsidR="006E45D7" w:rsidRDefault="006E45D7" w:rsidP="006E45D7">
      <w:pPr>
        <w:outlineLvl w:val="0"/>
        <w:rPr>
          <w:sz w:val="20"/>
        </w:rPr>
      </w:pPr>
    </w:p>
    <w:p w14:paraId="5978CB3A" w14:textId="654036F9" w:rsidR="006E45D7" w:rsidRDefault="006E45D7" w:rsidP="006E45D7">
      <w:pPr>
        <w:ind w:firstLine="720"/>
        <w:rPr>
          <w:sz w:val="20"/>
        </w:rPr>
      </w:pPr>
      <w:r>
        <w:rPr>
          <w:sz w:val="20"/>
        </w:rPr>
        <w:t xml:space="preserve">The most commonly used authority for the style and documentation of academic papers in the humanities is </w:t>
      </w:r>
      <w:r>
        <w:rPr>
          <w:b/>
          <w:sz w:val="20"/>
        </w:rPr>
        <w:t xml:space="preserve">Kate L. Turabian, </w:t>
      </w:r>
      <w:r w:rsidR="008240EA">
        <w:rPr>
          <w:b/>
          <w:i/>
          <w:sz w:val="20"/>
        </w:rPr>
        <w:t>A Manual for Writers of Research</w:t>
      </w:r>
      <w:r>
        <w:rPr>
          <w:b/>
          <w:i/>
          <w:sz w:val="20"/>
        </w:rPr>
        <w:t xml:space="preserve"> Papers, Theses</w:t>
      </w:r>
      <w:r w:rsidR="008240EA">
        <w:rPr>
          <w:b/>
          <w:i/>
          <w:sz w:val="20"/>
        </w:rPr>
        <w:t>,</w:t>
      </w:r>
      <w:r>
        <w:rPr>
          <w:b/>
          <w:i/>
          <w:sz w:val="20"/>
        </w:rPr>
        <w:t xml:space="preserve"> and Dissertations</w:t>
      </w:r>
      <w:r w:rsidR="00FD49F6">
        <w:rPr>
          <w:b/>
          <w:sz w:val="20"/>
        </w:rPr>
        <w:t>, 9</w:t>
      </w:r>
      <w:r>
        <w:rPr>
          <w:b/>
          <w:sz w:val="20"/>
        </w:rPr>
        <w:t xml:space="preserve">th ed. (Chicago: University of Chicago Press, </w:t>
      </w:r>
      <w:r w:rsidR="003920F4">
        <w:rPr>
          <w:b/>
          <w:sz w:val="20"/>
        </w:rPr>
        <w:t>2018</w:t>
      </w:r>
      <w:r>
        <w:rPr>
          <w:b/>
          <w:sz w:val="20"/>
        </w:rPr>
        <w:t>)</w:t>
      </w:r>
      <w:r>
        <w:rPr>
          <w:sz w:val="20"/>
        </w:rPr>
        <w:t xml:space="preserve">. Turabian form will </w:t>
      </w:r>
      <w:proofErr w:type="gramStart"/>
      <w:r>
        <w:rPr>
          <w:sz w:val="20"/>
        </w:rPr>
        <w:t>be followed</w:t>
      </w:r>
      <w:proofErr w:type="gramEnd"/>
      <w:r>
        <w:rPr>
          <w:sz w:val="20"/>
        </w:rPr>
        <w:t xml:space="preserve"> for this course. Copies are available on library reserve. Much of her book is irrelevant for the brief type of paper you will be preparing, but if you have never used </w:t>
      </w:r>
      <w:r w:rsidR="00321B7B">
        <w:rPr>
          <w:sz w:val="20"/>
        </w:rPr>
        <w:t>Turabian</w:t>
      </w:r>
      <w:r>
        <w:rPr>
          <w:sz w:val="20"/>
        </w:rPr>
        <w:t xml:space="preserve">, it would be useful at least to skim through the work. Special attention, however, should </w:t>
      </w:r>
      <w:proofErr w:type="gramStart"/>
      <w:r>
        <w:rPr>
          <w:sz w:val="20"/>
        </w:rPr>
        <w:t>be paid</w:t>
      </w:r>
      <w:proofErr w:type="gramEnd"/>
      <w:r>
        <w:rPr>
          <w:sz w:val="20"/>
        </w:rPr>
        <w:t xml:space="preserve"> to the following:</w:t>
      </w:r>
    </w:p>
    <w:p w14:paraId="0A19481D" w14:textId="2ABEFD00" w:rsidR="006E45D7" w:rsidRDefault="006E45D7" w:rsidP="006E45D7">
      <w:pPr>
        <w:ind w:firstLine="720"/>
        <w:rPr>
          <w:sz w:val="20"/>
        </w:rPr>
      </w:pPr>
      <w:r>
        <w:rPr>
          <w:b/>
          <w:i/>
          <w:sz w:val="20"/>
        </w:rPr>
        <w:t>21.1-1</w:t>
      </w:r>
      <w:r w:rsidR="00FD49F6">
        <w:rPr>
          <w:b/>
          <w:i/>
          <w:sz w:val="20"/>
        </w:rPr>
        <w:t>2</w:t>
      </w:r>
      <w:r>
        <w:rPr>
          <w:b/>
          <w:i/>
          <w:sz w:val="20"/>
        </w:rPr>
        <w:t xml:space="preserve"> on punctuation</w:t>
      </w:r>
      <w:r>
        <w:rPr>
          <w:sz w:val="20"/>
        </w:rPr>
        <w:t>, esp. 21.2-4 on commas, semicolons, and colons. Rules 21.2.1, 21.2.3, and 21.3 are particularly crucial.</w:t>
      </w:r>
    </w:p>
    <w:p w14:paraId="06F0446D" w14:textId="78B71819" w:rsidR="006E45D7" w:rsidRDefault="006E45D7" w:rsidP="006E45D7">
      <w:pPr>
        <w:ind w:firstLine="720"/>
        <w:rPr>
          <w:sz w:val="20"/>
        </w:rPr>
      </w:pPr>
      <w:r>
        <w:rPr>
          <w:b/>
          <w:i/>
          <w:sz w:val="20"/>
        </w:rPr>
        <w:t>22.2.1 on italicizing</w:t>
      </w:r>
      <w:r>
        <w:rPr>
          <w:sz w:val="20"/>
        </w:rPr>
        <w:t xml:space="preserve"> foreign (e.g., Greek) words (unless you are already using a foreign alphabet, e.g., Greek</w:t>
      </w:r>
      <w:r w:rsidR="00EF2B96">
        <w:rPr>
          <w:sz w:val="20"/>
        </w:rPr>
        <w:t>)</w:t>
      </w:r>
      <w:r>
        <w:rPr>
          <w:sz w:val="20"/>
        </w:rPr>
        <w:t>.</w:t>
      </w:r>
    </w:p>
    <w:p w14:paraId="4A7DAC70" w14:textId="77777777" w:rsidR="006E45D7" w:rsidRDefault="006E45D7" w:rsidP="006E45D7">
      <w:pPr>
        <w:ind w:firstLine="720"/>
        <w:rPr>
          <w:sz w:val="20"/>
        </w:rPr>
      </w:pPr>
      <w:r>
        <w:rPr>
          <w:b/>
          <w:i/>
          <w:sz w:val="20"/>
        </w:rPr>
        <w:t>7.9, 25.1 on plagiarism</w:t>
      </w:r>
      <w:r>
        <w:rPr>
          <w:sz w:val="20"/>
        </w:rPr>
        <w:t xml:space="preserve"> and accuracy of quotation</w:t>
      </w:r>
    </w:p>
    <w:p w14:paraId="524D3049" w14:textId="77777777" w:rsidR="006E45D7" w:rsidRDefault="006E45D7" w:rsidP="006E45D7">
      <w:pPr>
        <w:ind w:firstLine="720"/>
        <w:rPr>
          <w:sz w:val="20"/>
        </w:rPr>
      </w:pPr>
      <w:r>
        <w:rPr>
          <w:b/>
          <w:i/>
          <w:sz w:val="20"/>
        </w:rPr>
        <w:t>7.5, 25.2.2 on block quotations</w:t>
      </w:r>
      <w:r>
        <w:rPr>
          <w:sz w:val="20"/>
        </w:rPr>
        <w:t xml:space="preserve"> (five or more lines, single-spaced, indented, without quotation marks).</w:t>
      </w:r>
    </w:p>
    <w:p w14:paraId="76423410" w14:textId="7155124E" w:rsidR="006E45D7" w:rsidRDefault="006E45D7" w:rsidP="006E45D7">
      <w:pPr>
        <w:ind w:firstLine="720"/>
        <w:rPr>
          <w:sz w:val="20"/>
        </w:rPr>
      </w:pPr>
      <w:r>
        <w:rPr>
          <w:b/>
          <w:i/>
          <w:sz w:val="20"/>
        </w:rPr>
        <w:t>15.3.1, 16.3.2-4 on use of footnotes/endnotes</w:t>
      </w:r>
      <w:r>
        <w:rPr>
          <w:sz w:val="20"/>
        </w:rPr>
        <w:t>. Superscripts always go after punctuation.</w:t>
      </w:r>
    </w:p>
    <w:p w14:paraId="64D437F5" w14:textId="287AAAAA" w:rsidR="006E45D7" w:rsidRDefault="006E45D7" w:rsidP="006E45D7">
      <w:pPr>
        <w:ind w:firstLine="720"/>
        <w:rPr>
          <w:sz w:val="20"/>
        </w:rPr>
      </w:pPr>
      <w:r>
        <w:rPr>
          <w:b/>
          <w:i/>
          <w:sz w:val="20"/>
        </w:rPr>
        <w:t>17.1-17.10 on sample footnote and bibliographic entries</w:t>
      </w:r>
      <w:r>
        <w:rPr>
          <w:sz w:val="20"/>
        </w:rPr>
        <w:t xml:space="preserve">. You will not have to use the vast majority of these; instead, almost all your entries will follow one of these forms: 17.1.1 (one author), 17.1.8 (first example), and 17.2.4. </w:t>
      </w:r>
    </w:p>
    <w:p w14:paraId="3C738C71" w14:textId="3BCEAAFF" w:rsidR="006E45D7" w:rsidRPr="00B0706A" w:rsidRDefault="006E45D7" w:rsidP="006E45D7">
      <w:pPr>
        <w:ind w:firstLine="720"/>
        <w:rPr>
          <w:sz w:val="20"/>
        </w:rPr>
      </w:pPr>
      <w:r w:rsidRPr="00B0706A">
        <w:rPr>
          <w:b/>
          <w:sz w:val="20"/>
        </w:rPr>
        <w:t xml:space="preserve">Instances in which Turabian form should </w:t>
      </w:r>
      <w:proofErr w:type="gramStart"/>
      <w:r w:rsidRPr="00B0706A">
        <w:rPr>
          <w:b/>
          <w:sz w:val="20"/>
        </w:rPr>
        <w:t>be simplified</w:t>
      </w:r>
      <w:proofErr w:type="gramEnd"/>
      <w:r w:rsidRPr="00B0706A">
        <w:rPr>
          <w:b/>
          <w:sz w:val="20"/>
        </w:rPr>
        <w:t xml:space="preserve"> include</w:t>
      </w:r>
      <w:r w:rsidRPr="00B0706A">
        <w:rPr>
          <w:sz w:val="20"/>
        </w:rPr>
        <w:t xml:space="preserve">: (1) Information about translators and revisions may be deleted from footnotes and bibliography. (2) Following the first </w:t>
      </w:r>
      <w:r w:rsidRPr="00B0706A">
        <w:rPr>
          <w:b/>
          <w:sz w:val="20"/>
        </w:rPr>
        <w:t>full</w:t>
      </w:r>
      <w:r w:rsidRPr="00B0706A">
        <w:rPr>
          <w:sz w:val="20"/>
        </w:rPr>
        <w:t xml:space="preserve"> reference in the footnotes to a particular work, subsequent references should contain only the author’s last name, an abbreviated title (italicized, if a book, or enclosed in quotations if an article) and pages [e.g. Stein, </w:t>
      </w:r>
      <w:r w:rsidRPr="00B0706A">
        <w:rPr>
          <w:i/>
          <w:iCs/>
          <w:sz w:val="20"/>
        </w:rPr>
        <w:t>Parables</w:t>
      </w:r>
      <w:r w:rsidRPr="00B0706A">
        <w:rPr>
          <w:sz w:val="20"/>
        </w:rPr>
        <w:t xml:space="preserve">, 53]). (3) Never write out the words “chapter(s)” or “verse” after the title of a biblical book, but use the form: Matthew 5, Luke 6:9. (4) For journal articles do </w:t>
      </w:r>
      <w:r w:rsidRPr="00B0706A">
        <w:rPr>
          <w:b/>
          <w:sz w:val="20"/>
        </w:rPr>
        <w:t>not</w:t>
      </w:r>
      <w:r w:rsidRPr="00B0706A">
        <w:rPr>
          <w:sz w:val="20"/>
        </w:rPr>
        <w:t xml:space="preserve"> include the month or issue number unless pagination is not cumulative for the entire year.</w:t>
      </w:r>
    </w:p>
    <w:p w14:paraId="37DFAE1B" w14:textId="1A561618" w:rsidR="006E45D7" w:rsidRDefault="0063334B" w:rsidP="006E45D7">
      <w:pPr>
        <w:ind w:firstLine="720"/>
        <w:rPr>
          <w:sz w:val="20"/>
        </w:rPr>
      </w:pPr>
      <w:r w:rsidRPr="00B0706A">
        <w:rPr>
          <w:b/>
          <w:i/>
          <w:sz w:val="20"/>
        </w:rPr>
        <w:t>Put s</w:t>
      </w:r>
      <w:r w:rsidR="006E45D7" w:rsidRPr="00B0706A">
        <w:rPr>
          <w:b/>
          <w:i/>
          <w:sz w:val="20"/>
        </w:rPr>
        <w:t>cripture references in the text as parenthetical notes, not in footnotes or endnotes</w:t>
      </w:r>
      <w:r w:rsidR="006E45D7" w:rsidRPr="00B0706A">
        <w:rPr>
          <w:sz w:val="20"/>
        </w:rPr>
        <w:t xml:space="preserve">. For example, “The most famous saying of Jesus on judgment appears in the Sermon on the Mount (Matt. 7:1).” Never include punctuation before an open parenthesis, always after the close parenthesis, unless what is in parenthesis forms an entire sentence—then the punctuation comes before the close parenthesis. Punctuation, however, always comes before a close quotation mark. Abbreviations may appear in parenthesis and footnotes/endnotes but should </w:t>
      </w:r>
      <w:proofErr w:type="gramStart"/>
      <w:r w:rsidR="006E45D7" w:rsidRPr="00B0706A">
        <w:rPr>
          <w:sz w:val="20"/>
        </w:rPr>
        <w:t>be avoided</w:t>
      </w:r>
      <w:proofErr w:type="gramEnd"/>
      <w:r w:rsidR="006E45D7" w:rsidRPr="00B0706A">
        <w:rPr>
          <w:sz w:val="20"/>
        </w:rPr>
        <w:t xml:space="preserve"> in the text itself.</w:t>
      </w:r>
    </w:p>
    <w:p w14:paraId="1B272098" w14:textId="1234DB65" w:rsidR="006E45D7" w:rsidRDefault="006E45D7" w:rsidP="006E45D7">
      <w:pPr>
        <w:ind w:firstLine="720"/>
        <w:rPr>
          <w:sz w:val="20"/>
        </w:rPr>
      </w:pPr>
      <w:r>
        <w:rPr>
          <w:b/>
          <w:i/>
          <w:sz w:val="20"/>
        </w:rPr>
        <w:t>For cumulative pagination</w:t>
      </w:r>
      <w:r>
        <w:rPr>
          <w:b/>
          <w:sz w:val="20"/>
        </w:rPr>
        <w:t xml:space="preserve">, </w:t>
      </w:r>
      <w:r>
        <w:rPr>
          <w:sz w:val="20"/>
        </w:rPr>
        <w:t xml:space="preserve">never use more than two digits with the second number, unless you change hundreds in the process. Thus pages 5-9 </w:t>
      </w:r>
      <w:proofErr w:type="gramStart"/>
      <w:r>
        <w:rPr>
          <w:sz w:val="20"/>
        </w:rPr>
        <w:t>are written</w:t>
      </w:r>
      <w:proofErr w:type="gramEnd"/>
      <w:r>
        <w:rPr>
          <w:sz w:val="20"/>
        </w:rPr>
        <w:t xml:space="preserve"> as 5-9, pages 20-63 are written as 20-63, but pages 245-267 are written as 245-67. But pages 298-323 </w:t>
      </w:r>
      <w:proofErr w:type="gramStart"/>
      <w:r>
        <w:rPr>
          <w:i/>
          <w:sz w:val="20"/>
        </w:rPr>
        <w:t xml:space="preserve">are </w:t>
      </w:r>
      <w:r>
        <w:rPr>
          <w:sz w:val="20"/>
        </w:rPr>
        <w:t>written</w:t>
      </w:r>
      <w:proofErr w:type="gramEnd"/>
      <w:r>
        <w:rPr>
          <w:sz w:val="20"/>
        </w:rPr>
        <w:t xml:space="preserve"> as 298-323. If the first and last page is within the first ten of any hundred, use only the final digit of the second number. Thus pages 101-109 </w:t>
      </w:r>
      <w:proofErr w:type="gramStart"/>
      <w:r>
        <w:rPr>
          <w:sz w:val="20"/>
        </w:rPr>
        <w:t>are written</w:t>
      </w:r>
      <w:proofErr w:type="gramEnd"/>
      <w:r>
        <w:rPr>
          <w:sz w:val="20"/>
        </w:rPr>
        <w:t xml:space="preserve"> as 101-9.</w:t>
      </w:r>
    </w:p>
    <w:p w14:paraId="471A3871" w14:textId="10D17163" w:rsidR="006E45D7" w:rsidRDefault="006E45D7" w:rsidP="006E45D7">
      <w:pPr>
        <w:ind w:firstLine="720"/>
        <w:rPr>
          <w:sz w:val="20"/>
        </w:rPr>
      </w:pPr>
      <w:r w:rsidRPr="00B0706A">
        <w:rPr>
          <w:b/>
          <w:i/>
          <w:sz w:val="20"/>
        </w:rPr>
        <w:t>Abbreviations should appear only in parentheses or footnotes/endnotes</w:t>
      </w:r>
      <w:r w:rsidRPr="00B0706A">
        <w:rPr>
          <w:b/>
          <w:sz w:val="20"/>
        </w:rPr>
        <w:t xml:space="preserve">. </w:t>
      </w:r>
      <w:r w:rsidRPr="00B0706A">
        <w:rPr>
          <w:sz w:val="20"/>
        </w:rPr>
        <w:t xml:space="preserve">The main instances of these will be with “verse(s),” “chapter(s),” and the names of biblical or extra-biblical books. </w:t>
      </w:r>
      <w:proofErr w:type="gramStart"/>
      <w:r w:rsidRPr="00B0706A">
        <w:rPr>
          <w:sz w:val="20"/>
        </w:rPr>
        <w:t>Thus</w:t>
      </w:r>
      <w:proofErr w:type="gramEnd"/>
      <w:r w:rsidRPr="00B0706A">
        <w:rPr>
          <w:sz w:val="20"/>
        </w:rPr>
        <w:t xml:space="preserve"> in the regular text of a paper, write “In verses 8-10 we read. . .” but in parentheses or footnotes, write </w:t>
      </w:r>
      <w:r w:rsidR="000C2A09">
        <w:rPr>
          <w:sz w:val="20"/>
        </w:rPr>
        <w:t>(</w:t>
      </w:r>
      <w:r w:rsidRPr="00B0706A">
        <w:rPr>
          <w:sz w:val="20"/>
        </w:rPr>
        <w:t>“In vv. 8-10 we read. . .”</w:t>
      </w:r>
      <w:r w:rsidR="000C2A09">
        <w:rPr>
          <w:sz w:val="20"/>
        </w:rPr>
        <w:t>).</w:t>
      </w:r>
      <w:r w:rsidRPr="00B0706A">
        <w:rPr>
          <w:sz w:val="20"/>
        </w:rPr>
        <w:t xml:space="preserve"> </w:t>
      </w:r>
    </w:p>
    <w:p w14:paraId="53F41CFE" w14:textId="77777777" w:rsidR="006E45D7" w:rsidRDefault="006E45D7" w:rsidP="006E45D7">
      <w:pPr>
        <w:ind w:firstLine="720"/>
        <w:rPr>
          <w:sz w:val="20"/>
        </w:rPr>
      </w:pPr>
    </w:p>
    <w:p w14:paraId="57092339" w14:textId="77777777" w:rsidR="006E45D7" w:rsidRDefault="006E45D7" w:rsidP="006E45D7">
      <w:pPr>
        <w:jc w:val="both"/>
        <w:outlineLvl w:val="0"/>
        <w:rPr>
          <w:b/>
          <w:sz w:val="20"/>
        </w:rPr>
      </w:pPr>
    </w:p>
    <w:p w14:paraId="14993194" w14:textId="77777777" w:rsidR="006E45D7" w:rsidRDefault="006E45D7" w:rsidP="006E45D7">
      <w:pPr>
        <w:jc w:val="both"/>
        <w:outlineLvl w:val="0"/>
        <w:rPr>
          <w:szCs w:val="24"/>
        </w:rPr>
      </w:pPr>
      <w:r>
        <w:rPr>
          <w:b/>
          <w:szCs w:val="24"/>
        </w:rPr>
        <w:t>SAMPLE FOOTNOTES &amp; BIBLIOGRAPHIC ENTRIES IN TURABIAN FORM</w:t>
      </w:r>
    </w:p>
    <w:p w14:paraId="540FB582" w14:textId="77777777" w:rsidR="006E45D7" w:rsidRDefault="006E45D7" w:rsidP="006E45D7">
      <w:pPr>
        <w:jc w:val="both"/>
        <w:outlineLvl w:val="0"/>
        <w:rPr>
          <w:sz w:val="20"/>
        </w:rPr>
      </w:pPr>
    </w:p>
    <w:p w14:paraId="79B325A6" w14:textId="77777777" w:rsidR="006E45D7" w:rsidRDefault="006E45D7" w:rsidP="006E45D7">
      <w:pPr>
        <w:jc w:val="both"/>
        <w:outlineLvl w:val="0"/>
        <w:rPr>
          <w:sz w:val="22"/>
          <w:szCs w:val="22"/>
        </w:rPr>
      </w:pPr>
      <w:r>
        <w:rPr>
          <w:sz w:val="22"/>
          <w:szCs w:val="22"/>
        </w:rPr>
        <w:t>Follow these models religiously!</w:t>
      </w:r>
    </w:p>
    <w:p w14:paraId="68B840F2" w14:textId="77777777" w:rsidR="006E45D7" w:rsidRDefault="006E45D7" w:rsidP="006E45D7">
      <w:pPr>
        <w:jc w:val="both"/>
        <w:outlineLvl w:val="0"/>
        <w:rPr>
          <w:sz w:val="20"/>
        </w:rPr>
      </w:pPr>
    </w:p>
    <w:p w14:paraId="7FA076A0" w14:textId="77777777" w:rsidR="006E45D7" w:rsidRDefault="006E45D7" w:rsidP="006E45D7">
      <w:pPr>
        <w:jc w:val="both"/>
        <w:outlineLvl w:val="0"/>
        <w:rPr>
          <w:sz w:val="20"/>
        </w:rPr>
      </w:pPr>
      <w:r>
        <w:rPr>
          <w:b/>
          <w:sz w:val="20"/>
        </w:rPr>
        <w:t>FOOTNOTES (</w:t>
      </w:r>
      <w:r>
        <w:rPr>
          <w:b/>
          <w:bCs/>
          <w:sz w:val="20"/>
        </w:rPr>
        <w:t>First Entries)</w:t>
      </w:r>
    </w:p>
    <w:p w14:paraId="49F3DBD9" w14:textId="77777777" w:rsidR="006E45D7" w:rsidRDefault="006E45D7" w:rsidP="006E45D7">
      <w:pPr>
        <w:jc w:val="both"/>
        <w:rPr>
          <w:sz w:val="20"/>
        </w:rPr>
      </w:pPr>
    </w:p>
    <w:p w14:paraId="2B45FA43" w14:textId="1AB3CB93" w:rsidR="006E45D7" w:rsidRDefault="006E45D7" w:rsidP="003F1F17">
      <w:pPr>
        <w:ind w:firstLine="720"/>
        <w:outlineLvl w:val="0"/>
        <w:rPr>
          <w:sz w:val="20"/>
        </w:rPr>
      </w:pPr>
      <w:r>
        <w:rPr>
          <w:sz w:val="20"/>
          <w:vertAlign w:val="superscript"/>
        </w:rPr>
        <w:t xml:space="preserve">1 </w:t>
      </w:r>
      <w:r>
        <w:rPr>
          <w:sz w:val="20"/>
        </w:rPr>
        <w:t xml:space="preserve">Craig L. Blomberg </w:t>
      </w:r>
      <w:r w:rsidR="00A73450">
        <w:rPr>
          <w:sz w:val="20"/>
        </w:rPr>
        <w:t>with</w:t>
      </w:r>
      <w:r>
        <w:rPr>
          <w:sz w:val="20"/>
        </w:rPr>
        <w:t xml:space="preserve"> Jennifer </w:t>
      </w:r>
      <w:proofErr w:type="spellStart"/>
      <w:r>
        <w:rPr>
          <w:sz w:val="20"/>
        </w:rPr>
        <w:t>Foutz</w:t>
      </w:r>
      <w:proofErr w:type="spellEnd"/>
      <w:r>
        <w:rPr>
          <w:sz w:val="20"/>
        </w:rPr>
        <w:t xml:space="preserve"> Markley, </w:t>
      </w:r>
      <w:r>
        <w:rPr>
          <w:i/>
          <w:sz w:val="20"/>
        </w:rPr>
        <w:t>A Handbook of New Testament Exegesis</w:t>
      </w:r>
      <w:r>
        <w:rPr>
          <w:sz w:val="20"/>
        </w:rPr>
        <w:t xml:space="preserve"> (Grand Rapids: Baker, 2010), 35.</w:t>
      </w:r>
    </w:p>
    <w:p w14:paraId="369E9B6E" w14:textId="77777777" w:rsidR="006E45D7" w:rsidRDefault="006E45D7" w:rsidP="003F1F17">
      <w:pPr>
        <w:ind w:firstLine="720"/>
        <w:rPr>
          <w:sz w:val="20"/>
        </w:rPr>
      </w:pPr>
    </w:p>
    <w:p w14:paraId="7DBDA28C" w14:textId="1E80816C" w:rsidR="006E45D7" w:rsidRDefault="006E45D7" w:rsidP="003F1F17">
      <w:pPr>
        <w:ind w:firstLine="720"/>
        <w:rPr>
          <w:sz w:val="20"/>
        </w:rPr>
      </w:pPr>
      <w:r>
        <w:rPr>
          <w:sz w:val="20"/>
          <w:vertAlign w:val="superscript"/>
        </w:rPr>
        <w:t xml:space="preserve">2 </w:t>
      </w:r>
      <w:r>
        <w:rPr>
          <w:sz w:val="20"/>
        </w:rPr>
        <w:t xml:space="preserve">David Mathewson, “Reading Heb 6:4-6 in Light of the Old Testament,” </w:t>
      </w:r>
      <w:r>
        <w:rPr>
          <w:i/>
          <w:sz w:val="20"/>
        </w:rPr>
        <w:t xml:space="preserve">Westminster Theological Journal </w:t>
      </w:r>
      <w:r>
        <w:rPr>
          <w:sz w:val="20"/>
        </w:rPr>
        <w:t>61 (1999): 209.</w:t>
      </w:r>
    </w:p>
    <w:p w14:paraId="6F11E206" w14:textId="77777777" w:rsidR="006E45D7" w:rsidRDefault="006E45D7" w:rsidP="003F1F17">
      <w:pPr>
        <w:ind w:firstLine="720"/>
        <w:rPr>
          <w:sz w:val="20"/>
        </w:rPr>
      </w:pPr>
    </w:p>
    <w:p w14:paraId="1C18E21D" w14:textId="77777777" w:rsidR="006E45D7" w:rsidRDefault="006E45D7" w:rsidP="003F1F17">
      <w:pPr>
        <w:ind w:firstLine="720"/>
        <w:rPr>
          <w:sz w:val="20"/>
        </w:rPr>
      </w:pPr>
      <w:r>
        <w:rPr>
          <w:sz w:val="20"/>
          <w:vertAlign w:val="superscript"/>
        </w:rPr>
        <w:t xml:space="preserve">3 </w:t>
      </w:r>
      <w:r>
        <w:rPr>
          <w:sz w:val="20"/>
        </w:rPr>
        <w:t xml:space="preserve">William W. Klein, “Exegetical Rigor with Hermeneutical Humility: The Calvinist-Arminian Debate and the New Testament,” in </w:t>
      </w:r>
      <w:r>
        <w:rPr>
          <w:i/>
          <w:sz w:val="20"/>
        </w:rPr>
        <w:t>New Testament Greek and Exegesis</w:t>
      </w:r>
      <w:r>
        <w:rPr>
          <w:sz w:val="20"/>
        </w:rPr>
        <w:t>, edited by Amy M. Donaldson and Timothy B. Sailors (Grand Rapids: Eerdmans, 2003), 26-27.</w:t>
      </w:r>
    </w:p>
    <w:p w14:paraId="2E289A01" w14:textId="77777777" w:rsidR="000C2A09" w:rsidRDefault="000C2A09" w:rsidP="003F1F17">
      <w:pPr>
        <w:ind w:firstLine="720"/>
        <w:rPr>
          <w:sz w:val="20"/>
        </w:rPr>
      </w:pPr>
    </w:p>
    <w:p w14:paraId="06BFF7DE" w14:textId="2C4D57A8" w:rsidR="006E45D7" w:rsidRDefault="006E45D7" w:rsidP="003F1F17">
      <w:pPr>
        <w:ind w:firstLine="720"/>
        <w:rPr>
          <w:sz w:val="20"/>
        </w:rPr>
      </w:pPr>
      <w:r>
        <w:rPr>
          <w:sz w:val="20"/>
          <w:vertAlign w:val="superscript"/>
        </w:rPr>
        <w:lastRenderedPageBreak/>
        <w:t xml:space="preserve">4 </w:t>
      </w:r>
      <w:r>
        <w:rPr>
          <w:sz w:val="20"/>
        </w:rPr>
        <w:t xml:space="preserve">J. </w:t>
      </w:r>
      <w:proofErr w:type="spellStart"/>
      <w:r>
        <w:rPr>
          <w:sz w:val="20"/>
        </w:rPr>
        <w:t>Goetzmann</w:t>
      </w:r>
      <w:proofErr w:type="spellEnd"/>
      <w:r>
        <w:rPr>
          <w:sz w:val="20"/>
        </w:rPr>
        <w:t xml:space="preserve">, “Understanding,” in </w:t>
      </w:r>
      <w:r>
        <w:rPr>
          <w:i/>
          <w:sz w:val="20"/>
        </w:rPr>
        <w:t>New International Dictionary of New Testament Theology</w:t>
      </w:r>
      <w:r>
        <w:rPr>
          <w:sz w:val="20"/>
        </w:rPr>
        <w:t>, ed. Colin Brown, vol. 3 (Grand Rapids: Zondervan, 1978), 130-33.</w:t>
      </w:r>
    </w:p>
    <w:p w14:paraId="16AF1E94" w14:textId="77777777" w:rsidR="0063334B" w:rsidRDefault="0063334B" w:rsidP="006E45D7">
      <w:pPr>
        <w:outlineLvl w:val="0"/>
        <w:rPr>
          <w:b/>
          <w:sz w:val="20"/>
        </w:rPr>
      </w:pPr>
    </w:p>
    <w:p w14:paraId="0D94A57E" w14:textId="042126FB" w:rsidR="006E45D7" w:rsidRDefault="006E45D7" w:rsidP="006E45D7">
      <w:pPr>
        <w:outlineLvl w:val="0"/>
        <w:rPr>
          <w:bCs/>
          <w:sz w:val="20"/>
        </w:rPr>
      </w:pPr>
      <w:r>
        <w:rPr>
          <w:b/>
          <w:sz w:val="20"/>
        </w:rPr>
        <w:t>Second Entries</w:t>
      </w:r>
      <w:r w:rsidR="000C2A09">
        <w:rPr>
          <w:b/>
          <w:sz w:val="20"/>
        </w:rPr>
        <w:t>:</w:t>
      </w:r>
      <w:r>
        <w:rPr>
          <w:b/>
          <w:sz w:val="20"/>
        </w:rPr>
        <w:t xml:space="preserve"> </w:t>
      </w:r>
      <w:r>
        <w:rPr>
          <w:bCs/>
          <w:sz w:val="20"/>
        </w:rPr>
        <w:t>use author’s last name only</w:t>
      </w:r>
      <w:r w:rsidR="000C2A09">
        <w:rPr>
          <w:bCs/>
          <w:sz w:val="20"/>
        </w:rPr>
        <w:t xml:space="preserve"> (</w:t>
      </w:r>
      <w:r>
        <w:rPr>
          <w:bCs/>
          <w:sz w:val="20"/>
        </w:rPr>
        <w:t>unless there are two authors with the same last name</w:t>
      </w:r>
      <w:r w:rsidR="000C2A09">
        <w:rPr>
          <w:bCs/>
          <w:sz w:val="20"/>
        </w:rPr>
        <w:t>)</w:t>
      </w:r>
      <w:r>
        <w:rPr>
          <w:bCs/>
          <w:sz w:val="20"/>
        </w:rPr>
        <w:t>, plus a one-</w:t>
      </w:r>
      <w:r w:rsidR="000C2A09">
        <w:rPr>
          <w:bCs/>
          <w:sz w:val="20"/>
        </w:rPr>
        <w:t xml:space="preserve"> </w:t>
      </w:r>
      <w:r>
        <w:rPr>
          <w:bCs/>
          <w:sz w:val="20"/>
        </w:rPr>
        <w:t xml:space="preserve">to </w:t>
      </w:r>
      <w:r w:rsidR="008D07E9">
        <w:rPr>
          <w:bCs/>
          <w:sz w:val="20"/>
        </w:rPr>
        <w:t>four</w:t>
      </w:r>
      <w:r w:rsidR="000C2A09">
        <w:rPr>
          <w:bCs/>
          <w:sz w:val="20"/>
        </w:rPr>
        <w:t>-</w:t>
      </w:r>
      <w:r>
        <w:rPr>
          <w:bCs/>
          <w:sz w:val="20"/>
        </w:rPr>
        <w:t>word short</w:t>
      </w:r>
      <w:r w:rsidR="000C2A09">
        <w:rPr>
          <w:bCs/>
          <w:sz w:val="20"/>
        </w:rPr>
        <w:t>ened</w:t>
      </w:r>
      <w:r>
        <w:rPr>
          <w:bCs/>
          <w:sz w:val="20"/>
        </w:rPr>
        <w:t xml:space="preserve"> title reflecting the most important words of the title, and pagination</w:t>
      </w:r>
      <w:r w:rsidR="000C2A09">
        <w:rPr>
          <w:bCs/>
          <w:sz w:val="20"/>
        </w:rPr>
        <w:t>. . .</w:t>
      </w:r>
    </w:p>
    <w:p w14:paraId="1A9D8757" w14:textId="77777777" w:rsidR="006E45D7" w:rsidRDefault="006E45D7" w:rsidP="006E45D7">
      <w:pPr>
        <w:rPr>
          <w:sz w:val="20"/>
        </w:rPr>
      </w:pPr>
    </w:p>
    <w:p w14:paraId="285DC50C" w14:textId="77777777" w:rsidR="006E45D7" w:rsidRDefault="006E45D7" w:rsidP="006E45D7">
      <w:pPr>
        <w:ind w:firstLine="720"/>
        <w:outlineLvl w:val="0"/>
        <w:rPr>
          <w:sz w:val="20"/>
        </w:rPr>
      </w:pPr>
      <w:r>
        <w:rPr>
          <w:sz w:val="20"/>
          <w:vertAlign w:val="superscript"/>
        </w:rPr>
        <w:t xml:space="preserve">5 </w:t>
      </w:r>
      <w:r>
        <w:rPr>
          <w:sz w:val="20"/>
        </w:rPr>
        <w:t xml:space="preserve">Blomberg with Markley, </w:t>
      </w:r>
      <w:r>
        <w:rPr>
          <w:i/>
          <w:sz w:val="20"/>
        </w:rPr>
        <w:t>New Testament Exegesis</w:t>
      </w:r>
      <w:r>
        <w:rPr>
          <w:sz w:val="20"/>
        </w:rPr>
        <w:t>, 41.</w:t>
      </w:r>
    </w:p>
    <w:p w14:paraId="305D348A" w14:textId="77777777" w:rsidR="006E45D7" w:rsidRDefault="006E45D7" w:rsidP="006E45D7">
      <w:pPr>
        <w:rPr>
          <w:sz w:val="20"/>
        </w:rPr>
      </w:pPr>
    </w:p>
    <w:p w14:paraId="02B565CB" w14:textId="3535C86B" w:rsidR="006E45D7" w:rsidRDefault="006E45D7" w:rsidP="006E45D7">
      <w:pPr>
        <w:ind w:firstLine="720"/>
        <w:outlineLvl w:val="0"/>
        <w:rPr>
          <w:sz w:val="20"/>
        </w:rPr>
      </w:pPr>
      <w:r>
        <w:rPr>
          <w:sz w:val="20"/>
          <w:vertAlign w:val="superscript"/>
        </w:rPr>
        <w:t xml:space="preserve">6 </w:t>
      </w:r>
      <w:r>
        <w:rPr>
          <w:sz w:val="20"/>
        </w:rPr>
        <w:t>Mathewson, “Heb 6:4-6,” 210-11.</w:t>
      </w:r>
    </w:p>
    <w:p w14:paraId="040EDBCD" w14:textId="77777777" w:rsidR="006E45D7" w:rsidRDefault="006E45D7" w:rsidP="006E45D7">
      <w:pPr>
        <w:ind w:firstLine="720"/>
        <w:outlineLvl w:val="0"/>
        <w:rPr>
          <w:sz w:val="20"/>
        </w:rPr>
      </w:pPr>
    </w:p>
    <w:p w14:paraId="49130866" w14:textId="77777777" w:rsidR="006E45D7" w:rsidRDefault="006E45D7" w:rsidP="006E45D7">
      <w:pPr>
        <w:ind w:firstLine="720"/>
        <w:outlineLvl w:val="0"/>
        <w:rPr>
          <w:sz w:val="20"/>
        </w:rPr>
      </w:pPr>
      <w:r>
        <w:rPr>
          <w:sz w:val="20"/>
          <w:vertAlign w:val="superscript"/>
        </w:rPr>
        <w:t xml:space="preserve">7 </w:t>
      </w:r>
      <w:r>
        <w:rPr>
          <w:sz w:val="20"/>
        </w:rPr>
        <w:t>Klein, “Exegetical Rigor,” 33.</w:t>
      </w:r>
    </w:p>
    <w:p w14:paraId="7A361DBA" w14:textId="77777777" w:rsidR="006E45D7" w:rsidRDefault="006E45D7" w:rsidP="006E45D7">
      <w:pPr>
        <w:rPr>
          <w:sz w:val="20"/>
        </w:rPr>
      </w:pPr>
    </w:p>
    <w:p w14:paraId="091F585E" w14:textId="77777777" w:rsidR="006E45D7" w:rsidRDefault="006E45D7" w:rsidP="006E45D7">
      <w:pPr>
        <w:ind w:firstLine="720"/>
        <w:outlineLvl w:val="0"/>
        <w:rPr>
          <w:sz w:val="20"/>
        </w:rPr>
      </w:pPr>
      <w:r>
        <w:rPr>
          <w:sz w:val="20"/>
          <w:vertAlign w:val="superscript"/>
        </w:rPr>
        <w:t xml:space="preserve">8 </w:t>
      </w:r>
      <w:proofErr w:type="spellStart"/>
      <w:r>
        <w:rPr>
          <w:sz w:val="20"/>
        </w:rPr>
        <w:t>Goetzmann</w:t>
      </w:r>
      <w:proofErr w:type="spellEnd"/>
      <w:r>
        <w:rPr>
          <w:sz w:val="20"/>
        </w:rPr>
        <w:t>, “Understanding,” 131.</w:t>
      </w:r>
    </w:p>
    <w:p w14:paraId="128DC1ED" w14:textId="77777777" w:rsidR="006E45D7" w:rsidRDefault="006E45D7" w:rsidP="006E45D7">
      <w:pPr>
        <w:rPr>
          <w:sz w:val="20"/>
        </w:rPr>
      </w:pPr>
    </w:p>
    <w:p w14:paraId="63556847" w14:textId="4900EDA6" w:rsidR="006E45D7" w:rsidRDefault="000C2A09" w:rsidP="006E45D7">
      <w:pPr>
        <w:rPr>
          <w:sz w:val="20"/>
        </w:rPr>
      </w:pPr>
      <w:r>
        <w:rPr>
          <w:sz w:val="20"/>
        </w:rPr>
        <w:t xml:space="preserve">. . . </w:t>
      </w:r>
      <w:r w:rsidR="006E45D7">
        <w:rPr>
          <w:sz w:val="20"/>
        </w:rPr>
        <w:t xml:space="preserve">unless two consecutive notes are from the same source, in which case use Ibid., followed by the page number(s). If the page number(s) are unchanged, use Ibid. by itself. (Ibid. is the abbreviation of the Latin </w:t>
      </w:r>
      <w:r w:rsidR="006E45D7" w:rsidRPr="008D07E9">
        <w:rPr>
          <w:i/>
          <w:sz w:val="20"/>
        </w:rPr>
        <w:t>ibidem</w:t>
      </w:r>
      <w:r w:rsidR="006E45D7">
        <w:rPr>
          <w:sz w:val="20"/>
        </w:rPr>
        <w:t>, meaning “in the same place. Because it is an abbreviation it has a period after it, even if followed by a comma and pagination.)</w:t>
      </w:r>
    </w:p>
    <w:p w14:paraId="5E8E5B0F" w14:textId="77777777" w:rsidR="006E45D7" w:rsidRDefault="006E45D7" w:rsidP="006E45D7">
      <w:pPr>
        <w:rPr>
          <w:b/>
          <w:sz w:val="20"/>
        </w:rPr>
      </w:pPr>
    </w:p>
    <w:p w14:paraId="1648448A" w14:textId="77777777" w:rsidR="006E45D7" w:rsidRDefault="006E45D7" w:rsidP="006E45D7">
      <w:pPr>
        <w:outlineLvl w:val="0"/>
        <w:rPr>
          <w:sz w:val="20"/>
        </w:rPr>
      </w:pPr>
      <w:r>
        <w:rPr>
          <w:b/>
          <w:sz w:val="20"/>
        </w:rPr>
        <w:t xml:space="preserve">BIBLIOGRAPHY (must </w:t>
      </w:r>
      <w:proofErr w:type="gramStart"/>
      <w:r>
        <w:rPr>
          <w:b/>
          <w:sz w:val="20"/>
        </w:rPr>
        <w:t>be alphabetized</w:t>
      </w:r>
      <w:proofErr w:type="gramEnd"/>
      <w:r>
        <w:rPr>
          <w:b/>
          <w:sz w:val="20"/>
        </w:rPr>
        <w:t xml:space="preserve"> by authors’ last names)</w:t>
      </w:r>
    </w:p>
    <w:p w14:paraId="6D7A1FCC" w14:textId="77777777" w:rsidR="006E45D7" w:rsidRDefault="006E45D7" w:rsidP="006E45D7">
      <w:pPr>
        <w:rPr>
          <w:sz w:val="20"/>
        </w:rPr>
      </w:pPr>
    </w:p>
    <w:p w14:paraId="0122C1C2" w14:textId="52F905F4" w:rsidR="006E45D7" w:rsidRDefault="006E45D7" w:rsidP="006E45D7">
      <w:pPr>
        <w:ind w:left="720" w:hanging="720"/>
        <w:outlineLvl w:val="0"/>
        <w:rPr>
          <w:sz w:val="20"/>
        </w:rPr>
      </w:pPr>
      <w:r>
        <w:rPr>
          <w:sz w:val="20"/>
        </w:rPr>
        <w:t xml:space="preserve">Blomberg, Craig L. </w:t>
      </w:r>
      <w:r w:rsidR="00A73450">
        <w:rPr>
          <w:sz w:val="20"/>
        </w:rPr>
        <w:t>with</w:t>
      </w:r>
      <w:r>
        <w:rPr>
          <w:sz w:val="20"/>
        </w:rPr>
        <w:t xml:space="preserve"> Jennifer </w:t>
      </w:r>
      <w:proofErr w:type="spellStart"/>
      <w:r>
        <w:rPr>
          <w:sz w:val="20"/>
        </w:rPr>
        <w:t>Foutz</w:t>
      </w:r>
      <w:proofErr w:type="spellEnd"/>
      <w:r>
        <w:rPr>
          <w:sz w:val="20"/>
        </w:rPr>
        <w:t xml:space="preserve"> Markley. </w:t>
      </w:r>
      <w:r>
        <w:rPr>
          <w:i/>
          <w:sz w:val="20"/>
        </w:rPr>
        <w:t>A Handbook of New Testament Exegesis</w:t>
      </w:r>
      <w:r>
        <w:rPr>
          <w:sz w:val="20"/>
        </w:rPr>
        <w:t>. Grand Rapids: Baker, 2010.</w:t>
      </w:r>
    </w:p>
    <w:p w14:paraId="2D6FF1A4" w14:textId="77777777" w:rsidR="006E45D7" w:rsidRDefault="006E45D7" w:rsidP="006E45D7">
      <w:pPr>
        <w:outlineLvl w:val="0"/>
        <w:rPr>
          <w:sz w:val="20"/>
        </w:rPr>
      </w:pPr>
    </w:p>
    <w:p w14:paraId="3A95E2F7" w14:textId="009449F5" w:rsidR="006E45D7" w:rsidRDefault="006E45D7" w:rsidP="006E45D7">
      <w:pPr>
        <w:ind w:left="720" w:hanging="720"/>
        <w:rPr>
          <w:sz w:val="20"/>
        </w:rPr>
      </w:pPr>
      <w:proofErr w:type="spellStart"/>
      <w:r>
        <w:rPr>
          <w:sz w:val="20"/>
        </w:rPr>
        <w:t>Goetzmann</w:t>
      </w:r>
      <w:proofErr w:type="spellEnd"/>
      <w:r>
        <w:rPr>
          <w:sz w:val="20"/>
        </w:rPr>
        <w:t xml:space="preserve">, J. “Understanding.” In </w:t>
      </w:r>
      <w:r>
        <w:rPr>
          <w:i/>
          <w:sz w:val="20"/>
        </w:rPr>
        <w:t>New International Dictionary of New Testament Theology</w:t>
      </w:r>
      <w:r>
        <w:rPr>
          <w:sz w:val="20"/>
        </w:rPr>
        <w:t>, edited by Colin Brown, vol. 3, 130-33. Grand Rapids: Zondervan, 1978.</w:t>
      </w:r>
    </w:p>
    <w:p w14:paraId="23310087" w14:textId="77777777" w:rsidR="006E45D7" w:rsidRDefault="006E45D7" w:rsidP="006E45D7">
      <w:pPr>
        <w:rPr>
          <w:sz w:val="20"/>
        </w:rPr>
      </w:pPr>
    </w:p>
    <w:p w14:paraId="29EDEE4C" w14:textId="06E128EE" w:rsidR="006E45D7" w:rsidRDefault="006E45D7" w:rsidP="006E45D7">
      <w:pPr>
        <w:ind w:left="720" w:hanging="720"/>
        <w:rPr>
          <w:sz w:val="20"/>
        </w:rPr>
      </w:pPr>
      <w:r>
        <w:rPr>
          <w:sz w:val="20"/>
        </w:rPr>
        <w:t xml:space="preserve">Klein, William W. “Exegetical Rigor with Hermeneutical Humility: The Calvinist-Arminian Debate and the New Testament.” In </w:t>
      </w:r>
      <w:r>
        <w:rPr>
          <w:i/>
          <w:sz w:val="20"/>
        </w:rPr>
        <w:t>New Testament Greek and Exegesis</w:t>
      </w:r>
      <w:r>
        <w:rPr>
          <w:sz w:val="20"/>
        </w:rPr>
        <w:t>, edited by Amy M. Donaldson and Timothy B. Sailors, 23-36</w:t>
      </w:r>
      <w:proofErr w:type="gramStart"/>
      <w:r>
        <w:rPr>
          <w:sz w:val="20"/>
        </w:rPr>
        <w:t xml:space="preserve">.  </w:t>
      </w:r>
      <w:proofErr w:type="gramEnd"/>
      <w:r>
        <w:rPr>
          <w:sz w:val="20"/>
        </w:rPr>
        <w:t>Grand Rapids: Eerdmans, 2003.</w:t>
      </w:r>
    </w:p>
    <w:p w14:paraId="27DB9661" w14:textId="77777777" w:rsidR="006E45D7" w:rsidRDefault="006E45D7" w:rsidP="006E45D7">
      <w:pPr>
        <w:ind w:left="720" w:hanging="720"/>
        <w:rPr>
          <w:sz w:val="20"/>
        </w:rPr>
      </w:pPr>
    </w:p>
    <w:p w14:paraId="2E24C6A1" w14:textId="63D987C5" w:rsidR="006E45D7" w:rsidRDefault="006E45D7" w:rsidP="006E45D7">
      <w:pPr>
        <w:ind w:left="720" w:hanging="720"/>
        <w:rPr>
          <w:sz w:val="20"/>
        </w:rPr>
      </w:pPr>
      <w:r>
        <w:rPr>
          <w:sz w:val="20"/>
        </w:rPr>
        <w:t xml:space="preserve">Mathewson, David. “Reading Heb 6:4-6 in Light of the Old Testament.” </w:t>
      </w:r>
      <w:r>
        <w:rPr>
          <w:i/>
          <w:sz w:val="20"/>
        </w:rPr>
        <w:t xml:space="preserve">Westminster Theological Journal </w:t>
      </w:r>
      <w:r>
        <w:rPr>
          <w:sz w:val="20"/>
        </w:rPr>
        <w:t>61 (1999): 209-25.</w:t>
      </w:r>
    </w:p>
    <w:p w14:paraId="53E4DB97" w14:textId="77777777" w:rsidR="006E45D7" w:rsidRDefault="006E45D7" w:rsidP="006E45D7">
      <w:pPr>
        <w:jc w:val="both"/>
        <w:rPr>
          <w:sz w:val="20"/>
        </w:rPr>
      </w:pPr>
    </w:p>
    <w:p w14:paraId="0DC9062D" w14:textId="77777777" w:rsidR="006E45D7" w:rsidRDefault="006E45D7" w:rsidP="006E45D7">
      <w:pPr>
        <w:jc w:val="both"/>
        <w:rPr>
          <w:b/>
          <w:bCs/>
          <w:sz w:val="20"/>
        </w:rPr>
      </w:pPr>
      <w:r>
        <w:rPr>
          <w:b/>
          <w:bCs/>
          <w:sz w:val="20"/>
        </w:rPr>
        <w:t>COMMENTARIES</w:t>
      </w:r>
    </w:p>
    <w:p w14:paraId="73FEA969" w14:textId="77777777" w:rsidR="006E45D7" w:rsidRDefault="006E45D7" w:rsidP="006E45D7">
      <w:pPr>
        <w:jc w:val="both"/>
        <w:rPr>
          <w:b/>
          <w:bCs/>
          <w:sz w:val="20"/>
        </w:rPr>
      </w:pPr>
    </w:p>
    <w:p w14:paraId="0BB622C6" w14:textId="77777777" w:rsidR="006E45D7" w:rsidRDefault="006E45D7" w:rsidP="006E45D7">
      <w:pPr>
        <w:rPr>
          <w:sz w:val="20"/>
        </w:rPr>
      </w:pPr>
      <w:r>
        <w:rPr>
          <w:sz w:val="20"/>
        </w:rPr>
        <w:t xml:space="preserve">When </w:t>
      </w:r>
      <w:proofErr w:type="gramStart"/>
      <w:r>
        <w:rPr>
          <w:sz w:val="20"/>
        </w:rPr>
        <w:t xml:space="preserve">an </w:t>
      </w:r>
      <w:r>
        <w:rPr>
          <w:b/>
          <w:bCs/>
          <w:sz w:val="20"/>
        </w:rPr>
        <w:t>entire volume is written by a single author</w:t>
      </w:r>
      <w:proofErr w:type="gramEnd"/>
      <w:r>
        <w:rPr>
          <w:sz w:val="20"/>
        </w:rPr>
        <w:t>, you may treat it just like an ordinary book, omitting the name of the series and series editor:</w:t>
      </w:r>
    </w:p>
    <w:p w14:paraId="6560C2B2" w14:textId="77777777" w:rsidR="006E45D7" w:rsidRDefault="006E45D7" w:rsidP="006E45D7">
      <w:pPr>
        <w:rPr>
          <w:sz w:val="20"/>
        </w:rPr>
      </w:pPr>
    </w:p>
    <w:p w14:paraId="4C1A0C6B" w14:textId="3727909B" w:rsidR="006E45D7" w:rsidRDefault="006E45D7" w:rsidP="006E45D7">
      <w:pPr>
        <w:rPr>
          <w:sz w:val="20"/>
        </w:rPr>
      </w:pPr>
      <w:r>
        <w:rPr>
          <w:b/>
          <w:bCs/>
          <w:sz w:val="20"/>
        </w:rPr>
        <w:t>Footnote</w:t>
      </w:r>
      <w:r>
        <w:rPr>
          <w:sz w:val="20"/>
        </w:rPr>
        <w:t xml:space="preserve">: </w:t>
      </w:r>
      <w:r>
        <w:rPr>
          <w:sz w:val="20"/>
          <w:vertAlign w:val="superscript"/>
        </w:rPr>
        <w:t xml:space="preserve">9 </w:t>
      </w:r>
      <w:r>
        <w:rPr>
          <w:sz w:val="20"/>
        </w:rPr>
        <w:t xml:space="preserve">Craig L. Blomberg, </w:t>
      </w:r>
      <w:r>
        <w:rPr>
          <w:i/>
          <w:iCs/>
          <w:sz w:val="20"/>
        </w:rPr>
        <w:t>Matthew</w:t>
      </w:r>
      <w:r>
        <w:rPr>
          <w:sz w:val="20"/>
        </w:rPr>
        <w:t xml:space="preserve"> (Nashville: Broadman, 1992)</w:t>
      </w:r>
      <w:r w:rsidR="00DF469B">
        <w:rPr>
          <w:sz w:val="20"/>
        </w:rPr>
        <w:t>, 102.</w:t>
      </w:r>
    </w:p>
    <w:p w14:paraId="1E5B31FA" w14:textId="77777777" w:rsidR="006E45D7" w:rsidRDefault="006E45D7" w:rsidP="006E45D7">
      <w:pPr>
        <w:rPr>
          <w:sz w:val="20"/>
        </w:rPr>
      </w:pPr>
    </w:p>
    <w:p w14:paraId="2B98F3C7" w14:textId="03E359BD" w:rsidR="006E45D7" w:rsidRDefault="006E45D7" w:rsidP="006E45D7">
      <w:pPr>
        <w:rPr>
          <w:sz w:val="20"/>
        </w:rPr>
      </w:pPr>
      <w:r>
        <w:rPr>
          <w:b/>
          <w:bCs/>
          <w:sz w:val="20"/>
        </w:rPr>
        <w:t>Bibliography Entry</w:t>
      </w:r>
      <w:r>
        <w:rPr>
          <w:sz w:val="20"/>
        </w:rPr>
        <w:t xml:space="preserve">: Blomberg, Craig L. </w:t>
      </w:r>
      <w:r>
        <w:rPr>
          <w:i/>
          <w:iCs/>
          <w:sz w:val="20"/>
        </w:rPr>
        <w:t>Matthew</w:t>
      </w:r>
      <w:r>
        <w:rPr>
          <w:sz w:val="20"/>
        </w:rPr>
        <w:t>. Nashville: Broadman, 1992.</w:t>
      </w:r>
    </w:p>
    <w:p w14:paraId="25CCD65D" w14:textId="77777777" w:rsidR="006E45D7" w:rsidRDefault="006E45D7" w:rsidP="006E45D7">
      <w:pPr>
        <w:rPr>
          <w:sz w:val="20"/>
        </w:rPr>
      </w:pPr>
    </w:p>
    <w:p w14:paraId="3E4862AF" w14:textId="77777777" w:rsidR="006E45D7" w:rsidRDefault="006E45D7" w:rsidP="006E45D7">
      <w:pPr>
        <w:rPr>
          <w:sz w:val="20"/>
        </w:rPr>
      </w:pPr>
      <w:r>
        <w:rPr>
          <w:sz w:val="20"/>
        </w:rPr>
        <w:t xml:space="preserve">When the author has contributed only </w:t>
      </w:r>
      <w:r>
        <w:rPr>
          <w:b/>
          <w:bCs/>
          <w:sz w:val="20"/>
        </w:rPr>
        <w:t>a portion of a multi-author volume</w:t>
      </w:r>
      <w:r>
        <w:rPr>
          <w:sz w:val="20"/>
        </w:rPr>
        <w:t>, treat it like a multi-author work:</w:t>
      </w:r>
    </w:p>
    <w:p w14:paraId="79FEB68D" w14:textId="77777777" w:rsidR="006E45D7" w:rsidRDefault="006E45D7" w:rsidP="006E45D7">
      <w:pPr>
        <w:rPr>
          <w:sz w:val="20"/>
        </w:rPr>
      </w:pPr>
    </w:p>
    <w:p w14:paraId="3BAE3D67" w14:textId="43F64974" w:rsidR="006E45D7" w:rsidRDefault="006E45D7" w:rsidP="006E45D7">
      <w:pPr>
        <w:rPr>
          <w:sz w:val="20"/>
        </w:rPr>
      </w:pPr>
      <w:r>
        <w:rPr>
          <w:b/>
          <w:bCs/>
          <w:sz w:val="20"/>
        </w:rPr>
        <w:t>Footnote</w:t>
      </w:r>
      <w:r>
        <w:rPr>
          <w:sz w:val="20"/>
        </w:rPr>
        <w:t xml:space="preserve">: </w:t>
      </w:r>
      <w:r>
        <w:rPr>
          <w:sz w:val="20"/>
          <w:vertAlign w:val="superscript"/>
        </w:rPr>
        <w:t xml:space="preserve">10 </w:t>
      </w:r>
      <w:r>
        <w:rPr>
          <w:sz w:val="20"/>
        </w:rPr>
        <w:t xml:space="preserve">William W. Klein, “Ephesians,” in </w:t>
      </w:r>
      <w:r>
        <w:rPr>
          <w:i/>
          <w:iCs/>
          <w:sz w:val="20"/>
        </w:rPr>
        <w:t>Expositor’s Bible Commentary</w:t>
      </w:r>
      <w:r w:rsidR="000C2A09">
        <w:rPr>
          <w:sz w:val="20"/>
        </w:rPr>
        <w:t>,</w:t>
      </w:r>
      <w:r>
        <w:rPr>
          <w:i/>
          <w:iCs/>
          <w:sz w:val="20"/>
        </w:rPr>
        <w:t xml:space="preserve"> </w:t>
      </w:r>
      <w:r w:rsidR="000C2A09">
        <w:rPr>
          <w:sz w:val="20"/>
        </w:rPr>
        <w:t>r</w:t>
      </w:r>
      <w:r w:rsidRPr="000C2A09">
        <w:rPr>
          <w:sz w:val="20"/>
        </w:rPr>
        <w:t>ev</w:t>
      </w:r>
      <w:r w:rsidR="000C2A09">
        <w:rPr>
          <w:sz w:val="20"/>
        </w:rPr>
        <w:t>.</w:t>
      </w:r>
      <w:r w:rsidR="0046259D">
        <w:rPr>
          <w:sz w:val="20"/>
        </w:rPr>
        <w:t xml:space="preserve"> ed.</w:t>
      </w:r>
      <w:r w:rsidR="000C2A09">
        <w:rPr>
          <w:sz w:val="20"/>
        </w:rPr>
        <w:t>,</w:t>
      </w:r>
      <w:r>
        <w:rPr>
          <w:sz w:val="20"/>
        </w:rPr>
        <w:t xml:space="preserve"> </w:t>
      </w:r>
      <w:r w:rsidR="0037646B">
        <w:rPr>
          <w:sz w:val="20"/>
        </w:rPr>
        <w:t xml:space="preserve">ed. </w:t>
      </w:r>
      <w:r>
        <w:rPr>
          <w:sz w:val="20"/>
        </w:rPr>
        <w:t>David E. Garland and Tremper Longman III, vol. 12 (Grand Rapids: Zondervan, 2006), 114-16.</w:t>
      </w:r>
    </w:p>
    <w:p w14:paraId="26766DC3" w14:textId="77777777" w:rsidR="006E45D7" w:rsidRDefault="006E45D7" w:rsidP="006E45D7">
      <w:pPr>
        <w:rPr>
          <w:sz w:val="20"/>
        </w:rPr>
      </w:pPr>
    </w:p>
    <w:p w14:paraId="285DA769" w14:textId="31395C9B" w:rsidR="006E45D7" w:rsidRDefault="006E45D7" w:rsidP="006E45D7">
      <w:pPr>
        <w:rPr>
          <w:sz w:val="20"/>
        </w:rPr>
      </w:pPr>
      <w:r>
        <w:rPr>
          <w:b/>
          <w:bCs/>
          <w:sz w:val="20"/>
        </w:rPr>
        <w:t>Bibliography Entry</w:t>
      </w:r>
      <w:r>
        <w:rPr>
          <w:sz w:val="20"/>
        </w:rPr>
        <w:t xml:space="preserve">: Klein, William W. “Ephesians.” In </w:t>
      </w:r>
      <w:r>
        <w:rPr>
          <w:i/>
          <w:iCs/>
          <w:sz w:val="20"/>
        </w:rPr>
        <w:t>Expositor’s Bible Commentary</w:t>
      </w:r>
      <w:r w:rsidR="0037646B">
        <w:rPr>
          <w:i/>
          <w:iCs/>
          <w:sz w:val="20"/>
        </w:rPr>
        <w:t>.</w:t>
      </w:r>
      <w:r>
        <w:rPr>
          <w:i/>
          <w:iCs/>
          <w:sz w:val="20"/>
        </w:rPr>
        <w:t xml:space="preserve"> </w:t>
      </w:r>
      <w:r w:rsidRPr="000C2A09">
        <w:rPr>
          <w:sz w:val="20"/>
        </w:rPr>
        <w:t>Rev</w:t>
      </w:r>
      <w:r w:rsidR="000C2A09">
        <w:rPr>
          <w:sz w:val="20"/>
        </w:rPr>
        <w:t>.</w:t>
      </w:r>
      <w:r w:rsidRPr="000C2A09">
        <w:rPr>
          <w:sz w:val="20"/>
        </w:rPr>
        <w:t xml:space="preserve"> </w:t>
      </w:r>
      <w:r w:rsidR="000C2A09">
        <w:rPr>
          <w:sz w:val="20"/>
        </w:rPr>
        <w:t>e</w:t>
      </w:r>
      <w:r w:rsidRPr="000C2A09">
        <w:rPr>
          <w:sz w:val="20"/>
        </w:rPr>
        <w:t>d</w:t>
      </w:r>
      <w:r w:rsidR="000C2A09">
        <w:rPr>
          <w:sz w:val="20"/>
        </w:rPr>
        <w:t>.</w:t>
      </w:r>
      <w:r>
        <w:rPr>
          <w:sz w:val="20"/>
        </w:rPr>
        <w:t xml:space="preserve"> </w:t>
      </w:r>
      <w:r w:rsidR="00FB5E19">
        <w:rPr>
          <w:sz w:val="20"/>
        </w:rPr>
        <w:t>E</w:t>
      </w:r>
      <w:r>
        <w:rPr>
          <w:sz w:val="20"/>
        </w:rPr>
        <w:t>dited by David E. Garland and Tremper Longman III, vol. 12</w:t>
      </w:r>
      <w:r w:rsidR="007C5507">
        <w:rPr>
          <w:sz w:val="20"/>
        </w:rPr>
        <w:t>.</w:t>
      </w:r>
      <w:r>
        <w:rPr>
          <w:sz w:val="20"/>
        </w:rPr>
        <w:t xml:space="preserve"> Grand Rapids: Zondervan, 2006</w:t>
      </w:r>
      <w:r w:rsidR="00FB5E19">
        <w:rPr>
          <w:sz w:val="20"/>
        </w:rPr>
        <w:t>,</w:t>
      </w:r>
      <w:r w:rsidR="00FB5E19" w:rsidRPr="00FB5E19">
        <w:rPr>
          <w:sz w:val="20"/>
        </w:rPr>
        <w:t xml:space="preserve"> </w:t>
      </w:r>
      <w:r w:rsidR="00FB5E19">
        <w:rPr>
          <w:sz w:val="20"/>
        </w:rPr>
        <w:t>19-173.</w:t>
      </w:r>
    </w:p>
    <w:p w14:paraId="2BEC2B42" w14:textId="77777777" w:rsidR="006E45D7" w:rsidRDefault="006E45D7" w:rsidP="006E45D7">
      <w:pPr>
        <w:jc w:val="both"/>
        <w:rPr>
          <w:b/>
          <w:sz w:val="20"/>
          <w:u w:val="single"/>
        </w:rPr>
      </w:pPr>
    </w:p>
    <w:p w14:paraId="1E443ABA" w14:textId="77777777" w:rsidR="006E45D7" w:rsidRDefault="006E45D7" w:rsidP="006E45D7">
      <w:pPr>
        <w:jc w:val="both"/>
        <w:rPr>
          <w:b/>
          <w:sz w:val="20"/>
          <w:u w:val="single"/>
        </w:rPr>
      </w:pPr>
    </w:p>
    <w:p w14:paraId="3A8DAA71" w14:textId="77777777" w:rsidR="006E45D7" w:rsidRDefault="006E45D7" w:rsidP="006E45D7">
      <w:pPr>
        <w:outlineLvl w:val="0"/>
        <w:rPr>
          <w:b/>
          <w:sz w:val="20"/>
        </w:rPr>
      </w:pPr>
      <w:r>
        <w:rPr>
          <w:b/>
          <w:sz w:val="20"/>
        </w:rPr>
        <w:t>ELECTRONIC MEDIA</w:t>
      </w:r>
    </w:p>
    <w:p w14:paraId="67D085B8" w14:textId="77777777" w:rsidR="006E45D7" w:rsidRDefault="006E45D7" w:rsidP="006E45D7">
      <w:pPr>
        <w:rPr>
          <w:b/>
          <w:sz w:val="20"/>
        </w:rPr>
      </w:pPr>
    </w:p>
    <w:p w14:paraId="45A6C76C" w14:textId="008D2670" w:rsidR="000E5086" w:rsidRDefault="006E45D7" w:rsidP="006E45D7">
      <w:r>
        <w:rPr>
          <w:bCs/>
          <w:snapToGrid w:val="0"/>
          <w:sz w:val="20"/>
        </w:rPr>
        <w:t>See</w:t>
      </w:r>
      <w:r w:rsidR="00FD49F6">
        <w:rPr>
          <w:bCs/>
          <w:snapToGrid w:val="0"/>
          <w:sz w:val="20"/>
        </w:rPr>
        <w:t xml:space="preserve"> Turabian, sec. 17.2.7, 17.5</w:t>
      </w:r>
      <w:r>
        <w:rPr>
          <w:bCs/>
          <w:snapToGrid w:val="0"/>
          <w:sz w:val="20"/>
        </w:rPr>
        <w:t xml:space="preserve">, 17.7. </w:t>
      </w:r>
      <w:proofErr w:type="gramStart"/>
      <w:r>
        <w:rPr>
          <w:bCs/>
          <w:snapToGrid w:val="0"/>
          <w:sz w:val="20"/>
        </w:rPr>
        <w:t>Usually</w:t>
      </w:r>
      <w:proofErr w:type="gramEnd"/>
      <w:r>
        <w:rPr>
          <w:bCs/>
          <w:snapToGrid w:val="0"/>
          <w:sz w:val="20"/>
        </w:rPr>
        <w:t xml:space="preserve"> you will include as much of the identical information as possible, often minus only page numbers. If the source is a website rather than a CD-ROM include the entire web address and date accessed. If the book is on Kindle or a comparable reader, use the pagination that appears, if any.</w:t>
      </w:r>
    </w:p>
    <w:sectPr w:rsidR="000E50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4E4E" w14:textId="77777777" w:rsidR="00B0706A" w:rsidRDefault="00B0706A" w:rsidP="006E45D7">
      <w:r>
        <w:separator/>
      </w:r>
    </w:p>
  </w:endnote>
  <w:endnote w:type="continuationSeparator" w:id="0">
    <w:p w14:paraId="582076EE" w14:textId="77777777" w:rsidR="00B0706A" w:rsidRDefault="00B0706A" w:rsidP="006E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05F0" w14:textId="77777777" w:rsidR="00B0706A" w:rsidRDefault="00B0706A" w:rsidP="006E45D7">
      <w:r>
        <w:separator/>
      </w:r>
    </w:p>
  </w:footnote>
  <w:footnote w:type="continuationSeparator" w:id="0">
    <w:p w14:paraId="6A3E2C42" w14:textId="77777777" w:rsidR="00B0706A" w:rsidRDefault="00B0706A" w:rsidP="006E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743256"/>
      <w:docPartObj>
        <w:docPartGallery w:val="Page Numbers (Top of Page)"/>
        <w:docPartUnique/>
      </w:docPartObj>
    </w:sdtPr>
    <w:sdtEndPr>
      <w:rPr>
        <w:noProof/>
      </w:rPr>
    </w:sdtEndPr>
    <w:sdtContent>
      <w:p w14:paraId="35D4FAB1" w14:textId="6646DBDA" w:rsidR="00B0706A" w:rsidRDefault="00B0706A">
        <w:pPr>
          <w:pStyle w:val="Header"/>
          <w:jc w:val="right"/>
        </w:pPr>
        <w:r>
          <w:fldChar w:fldCharType="begin"/>
        </w:r>
        <w:r>
          <w:instrText xml:space="preserve"> PAGE   \* MERGEFORMAT </w:instrText>
        </w:r>
        <w:r>
          <w:fldChar w:fldCharType="separate"/>
        </w:r>
        <w:r w:rsidR="00482CA1">
          <w:rPr>
            <w:noProof/>
          </w:rPr>
          <w:t>1</w:t>
        </w:r>
        <w:r>
          <w:rPr>
            <w:noProof/>
          </w:rPr>
          <w:fldChar w:fldCharType="end"/>
        </w:r>
      </w:p>
    </w:sdtContent>
  </w:sdt>
  <w:p w14:paraId="46A22D0B" w14:textId="77777777" w:rsidR="00B0706A" w:rsidRDefault="00B07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D7"/>
    <w:rsid w:val="00040CF9"/>
    <w:rsid w:val="000C2A09"/>
    <w:rsid w:val="000E5086"/>
    <w:rsid w:val="001E5082"/>
    <w:rsid w:val="001E64CC"/>
    <w:rsid w:val="00321B7B"/>
    <w:rsid w:val="00347673"/>
    <w:rsid w:val="00365CA6"/>
    <w:rsid w:val="0037646B"/>
    <w:rsid w:val="003920F4"/>
    <w:rsid w:val="003F1F17"/>
    <w:rsid w:val="00436116"/>
    <w:rsid w:val="0046259D"/>
    <w:rsid w:val="00482CA1"/>
    <w:rsid w:val="004E75FB"/>
    <w:rsid w:val="0063334B"/>
    <w:rsid w:val="00682A0E"/>
    <w:rsid w:val="006E45D7"/>
    <w:rsid w:val="007C5507"/>
    <w:rsid w:val="00820EC9"/>
    <w:rsid w:val="008240EA"/>
    <w:rsid w:val="008D07E9"/>
    <w:rsid w:val="008D5A84"/>
    <w:rsid w:val="0092103B"/>
    <w:rsid w:val="00A126DD"/>
    <w:rsid w:val="00A73450"/>
    <w:rsid w:val="00B0706A"/>
    <w:rsid w:val="00BE200E"/>
    <w:rsid w:val="00C4342A"/>
    <w:rsid w:val="00CD59C8"/>
    <w:rsid w:val="00D55CED"/>
    <w:rsid w:val="00DA0245"/>
    <w:rsid w:val="00DF469B"/>
    <w:rsid w:val="00E15CDD"/>
    <w:rsid w:val="00ED3B65"/>
    <w:rsid w:val="00EF2B96"/>
    <w:rsid w:val="00F17E46"/>
    <w:rsid w:val="00FB5E19"/>
    <w:rsid w:val="00FC3E3E"/>
    <w:rsid w:val="00FD49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28500"/>
  <w15:docId w15:val="{6605C95F-B999-D243-8CC8-40CF8C6C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5D7"/>
    <w:pPr>
      <w:widowControl w:val="0"/>
      <w:snapToGrid w:val="0"/>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pPr>
      <w:keepNext/>
      <w:keepLines/>
      <w:widowControl/>
      <w:snapToGrid/>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widowControl/>
      <w:snapToGrid/>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widowControl/>
      <w:snapToGrid/>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widowControl/>
      <w:snapToGrid/>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widowControl/>
      <w:snapToGrid/>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widowControl/>
      <w:snapToGrid/>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widowControl/>
      <w:snapToGrid/>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widowControl/>
      <w:snapToGri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widowControl/>
      <w:snapToGri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widowControl/>
      <w:snapToGri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snapToGrid/>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napToGrid/>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widowControl/>
      <w:pBdr>
        <w:top w:val="single" w:sz="4" w:space="10" w:color="5B9BD5" w:themeColor="accent1"/>
        <w:bottom w:val="single" w:sz="4" w:space="10" w:color="5B9BD5" w:themeColor="accent1"/>
      </w:pBdr>
      <w:snapToGrid/>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widowControl/>
      <w:snapToGrid/>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widowControl/>
      <w:snapToGrid/>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uiPriority w:val="99"/>
    <w:unhideWhenUsed/>
    <w:rsid w:val="006E45D7"/>
    <w:pPr>
      <w:tabs>
        <w:tab w:val="center" w:pos="4680"/>
        <w:tab w:val="right" w:pos="9360"/>
      </w:tabs>
    </w:pPr>
  </w:style>
  <w:style w:type="character" w:customStyle="1" w:styleId="HeaderChar">
    <w:name w:val="Header Char"/>
    <w:basedOn w:val="DefaultParagraphFont"/>
    <w:link w:val="Header"/>
    <w:uiPriority w:val="99"/>
    <w:rsid w:val="006E45D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45D7"/>
    <w:pPr>
      <w:tabs>
        <w:tab w:val="center" w:pos="4680"/>
        <w:tab w:val="right" w:pos="9360"/>
      </w:tabs>
    </w:pPr>
  </w:style>
  <w:style w:type="character" w:customStyle="1" w:styleId="FooterChar">
    <w:name w:val="Footer Char"/>
    <w:basedOn w:val="DefaultParagraphFont"/>
    <w:link w:val="Footer"/>
    <w:uiPriority w:val="99"/>
    <w:rsid w:val="006E45D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C:\Users\craig\AppData\Roaming\Microsoft\Templates\Single spaced (blank).dotx</Template>
  <TotalTime>34</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Blomberg</dc:creator>
  <cp:keywords/>
  <dc:description/>
  <cp:lastModifiedBy>Jana Matthews</cp:lastModifiedBy>
  <cp:revision>10</cp:revision>
  <dcterms:created xsi:type="dcterms:W3CDTF">2020-04-13T17:40:00Z</dcterms:created>
  <dcterms:modified xsi:type="dcterms:W3CDTF">2024-03-13T16:53:00Z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