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016F" w14:textId="5A1DF9D2" w:rsidR="001C18CC" w:rsidRDefault="001C18CC" w:rsidP="00040DD7">
      <w:pPr>
        <w:ind w:right="-360"/>
        <w:jc w:val="center"/>
        <w:rPr>
          <w:rFonts w:ascii="Palatino Linotype" w:hAnsi="Palatino Linotype"/>
          <w:b/>
          <w:sz w:val="32"/>
          <w:szCs w:val="32"/>
        </w:rPr>
      </w:pPr>
      <w:r w:rsidRPr="001C18CC">
        <w:rPr>
          <w:rFonts w:ascii="Palatino Linotype" w:hAnsi="Palatino Linotype"/>
          <w:b/>
          <w:sz w:val="32"/>
          <w:szCs w:val="32"/>
        </w:rPr>
        <w:t xml:space="preserve">Citing </w:t>
      </w:r>
      <w:r w:rsidR="00545092">
        <w:rPr>
          <w:rFonts w:ascii="Palatino Linotype" w:hAnsi="Palatino Linotype"/>
          <w:b/>
          <w:sz w:val="32"/>
          <w:szCs w:val="32"/>
        </w:rPr>
        <w:t>Common Sources</w:t>
      </w:r>
      <w:r w:rsidRPr="001C18CC">
        <w:rPr>
          <w:rFonts w:ascii="Palatino Linotype" w:hAnsi="Palatino Linotype"/>
          <w:b/>
          <w:sz w:val="32"/>
          <w:szCs w:val="32"/>
        </w:rPr>
        <w:t xml:space="preserve"> in Turabian</w:t>
      </w:r>
    </w:p>
    <w:p w14:paraId="1DCBBFEC" w14:textId="77777777" w:rsidR="00040DD7" w:rsidRPr="00040DD7" w:rsidRDefault="00040DD7" w:rsidP="00040DD7">
      <w:pPr>
        <w:ind w:right="-360"/>
        <w:jc w:val="center"/>
        <w:rPr>
          <w:rFonts w:ascii="Palatino Linotype" w:hAnsi="Palatino Linotype"/>
          <w:b/>
        </w:rPr>
      </w:pPr>
    </w:p>
    <w:p w14:paraId="0EFFC250" w14:textId="77777777" w:rsidR="00EA4E90" w:rsidRPr="00AF238D" w:rsidRDefault="00EA4E90" w:rsidP="00A040E3">
      <w:pPr>
        <w:ind w:right="-360"/>
        <w:jc w:val="center"/>
        <w:rPr>
          <w:rFonts w:ascii="Palatino Linotype" w:hAnsi="Palatino Linotype"/>
          <w:b/>
          <w:sz w:val="28"/>
          <w:szCs w:val="28"/>
        </w:rPr>
      </w:pPr>
      <w:r w:rsidRPr="00AF238D">
        <w:rPr>
          <w:rFonts w:ascii="Palatino Linotype" w:hAnsi="Palatino Linotype"/>
          <w:b/>
          <w:sz w:val="28"/>
          <w:szCs w:val="28"/>
        </w:rPr>
        <w:t>Footnotes</w:t>
      </w:r>
    </w:p>
    <w:p w14:paraId="04CE3961" w14:textId="77777777" w:rsidR="00CE43F6" w:rsidRPr="00E3261E" w:rsidRDefault="00CE43F6" w:rsidP="00661351">
      <w:pPr>
        <w:ind w:right="-360"/>
        <w:rPr>
          <w:rFonts w:ascii="Palatino Linotype" w:hAnsi="Palatino Linotype"/>
          <w:sz w:val="8"/>
          <w:szCs w:val="8"/>
        </w:rPr>
      </w:pPr>
    </w:p>
    <w:tbl>
      <w:tblPr>
        <w:tblW w:w="11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5"/>
        <w:gridCol w:w="8396"/>
      </w:tblGrid>
      <w:tr w:rsidR="00EA4E90" w:rsidRPr="0036734E" w14:paraId="1433E885" w14:textId="77777777" w:rsidTr="003B7B9D">
        <w:trPr>
          <w:trHeight w:val="30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E832" w14:textId="77777777" w:rsidR="00EA4E90" w:rsidRPr="0036734E" w:rsidRDefault="00EA4E90" w:rsidP="00DC68D3">
            <w:pPr>
              <w:ind w:right="-36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6734E">
              <w:rPr>
                <w:rFonts w:ascii="Palatino Linotype" w:hAnsi="Palatino Linotype"/>
                <w:b/>
                <w:sz w:val="20"/>
                <w:szCs w:val="20"/>
              </w:rPr>
              <w:t>TYPE OF SOURCE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B95" w14:textId="77777777" w:rsidR="00EA4E90" w:rsidRPr="0036734E" w:rsidRDefault="00EA4E90" w:rsidP="00DC68D3">
            <w:pPr>
              <w:ind w:right="-36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6734E">
              <w:rPr>
                <w:rFonts w:ascii="Palatino Linotype" w:hAnsi="Palatino Linotype"/>
                <w:b/>
                <w:sz w:val="20"/>
                <w:szCs w:val="20"/>
              </w:rPr>
              <w:t>FIRST REFERENCE</w:t>
            </w:r>
          </w:p>
        </w:tc>
      </w:tr>
      <w:tr w:rsidR="00EA4E90" w:rsidRPr="0036734E" w14:paraId="6D903E81" w14:textId="77777777" w:rsidTr="003B7B9D">
        <w:trPr>
          <w:trHeight w:val="34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24C" w14:textId="0DB22792" w:rsidR="00EA4E90" w:rsidRPr="00D04614" w:rsidRDefault="00EA4E90" w:rsidP="00DC68D3">
            <w:pPr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Book</w:t>
            </w:r>
            <w:r w:rsidR="000D37D6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(17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.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1)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D822" w14:textId="2B23CECD" w:rsidR="00EA4E90" w:rsidRPr="00D04614" w:rsidRDefault="00D63A63" w:rsidP="00CD3DB4">
            <w:pPr>
              <w:ind w:right="-63" w:firstLine="432"/>
              <w:rPr>
                <w:rFonts w:ascii="Palatino Linotype" w:hAnsi="Palatino Linotype"/>
                <w:sz w:val="21"/>
                <w:szCs w:val="21"/>
              </w:rPr>
            </w:pPr>
            <w:r w:rsidRPr="00500F9C">
              <w:rPr>
                <w:rFonts w:ascii="Palatino Linotype" w:hAnsi="Palatino Linotype"/>
                <w:sz w:val="22"/>
                <w:szCs w:val="22"/>
                <w:vertAlign w:val="superscript"/>
              </w:rPr>
              <w:t xml:space="preserve">2 </w:t>
            </w:r>
            <w:r w:rsidRPr="00622FC0">
              <w:rPr>
                <w:rFonts w:ascii="Palatino Linotype" w:hAnsi="Palatino Linotype"/>
                <w:sz w:val="22"/>
                <w:szCs w:val="22"/>
              </w:rPr>
              <w:t xml:space="preserve">Douglas E. Foley, </w:t>
            </w:r>
            <w:r w:rsidRPr="00622FC0">
              <w:rPr>
                <w:rFonts w:ascii="Palatino Linotype" w:hAnsi="Palatino Linotype"/>
                <w:i/>
                <w:iCs/>
                <w:sz w:val="22"/>
                <w:szCs w:val="22"/>
              </w:rPr>
              <w:t>Learning Capitalist Culture</w:t>
            </w:r>
            <w:r w:rsidRPr="00622FC0">
              <w:rPr>
                <w:rFonts w:ascii="Palatino Linotype" w:hAnsi="Palatino Linotype"/>
                <w:sz w:val="22"/>
                <w:szCs w:val="22"/>
              </w:rPr>
              <w:t xml:space="preserve">, 2nd ed. </w:t>
            </w:r>
            <w:r w:rsidR="00C0443F">
              <w:rPr>
                <w:rFonts w:ascii="Palatino Linotype" w:hAnsi="Palatino Linotype"/>
                <w:sz w:val="22"/>
                <w:szCs w:val="22"/>
              </w:rPr>
              <w:t>(</w:t>
            </w:r>
            <w:r w:rsidRPr="00622FC0">
              <w:rPr>
                <w:rFonts w:ascii="Palatino Linotype" w:hAnsi="Palatino Linotype"/>
                <w:sz w:val="22"/>
                <w:szCs w:val="22"/>
              </w:rPr>
              <w:t>Philadelphia: University of Pennsylvania Press, 2010</w:t>
            </w:r>
            <w:r w:rsidR="00C0443F">
              <w:rPr>
                <w:rFonts w:ascii="Palatino Linotype" w:hAnsi="Palatino Linotype"/>
                <w:sz w:val="22"/>
                <w:szCs w:val="22"/>
              </w:rPr>
              <w:t>), 49</w:t>
            </w:r>
            <w:r w:rsidRPr="00622FC0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</w:tr>
      <w:tr w:rsidR="00EA4E90" w:rsidRPr="0036734E" w14:paraId="1C90D038" w14:textId="77777777" w:rsidTr="003B7B9D">
        <w:trPr>
          <w:trHeight w:val="61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D6DE" w14:textId="1F9549A9" w:rsidR="00EA4E90" w:rsidRPr="00D04614" w:rsidRDefault="00EA4E90" w:rsidP="00DC68D3">
            <w:pPr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Book in a series</w:t>
            </w:r>
            <w:r w:rsidR="000D37D6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17.1.5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42B" w14:textId="77777777" w:rsidR="00EA4E90" w:rsidRPr="00D04614" w:rsidRDefault="00EA4E90" w:rsidP="00CD3DB4">
            <w:pPr>
              <w:ind w:right="-63" w:firstLine="432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>3</w:t>
            </w:r>
            <w:r w:rsidR="00D31543"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 xml:space="preserve"> </w:t>
            </w:r>
            <w:r w:rsidR="00D31543" w:rsidRPr="00D04614">
              <w:rPr>
                <w:rFonts w:ascii="Palatino Linotype" w:hAnsi="Palatino Linotype"/>
                <w:sz w:val="21"/>
                <w:szCs w:val="21"/>
              </w:rPr>
              <w:t xml:space="preserve">Blake M. Hausman, </w:t>
            </w:r>
            <w:r w:rsidR="00D31543" w:rsidRPr="00D04614">
              <w:rPr>
                <w:rFonts w:ascii="Palatino Linotype" w:hAnsi="Palatino Linotype"/>
                <w:i/>
                <w:sz w:val="21"/>
                <w:szCs w:val="21"/>
              </w:rPr>
              <w:t xml:space="preserve">Riding the Trail of Tears, </w:t>
            </w:r>
            <w:r w:rsidR="00D31543" w:rsidRPr="00D04614">
              <w:rPr>
                <w:rFonts w:ascii="Palatino Linotype" w:hAnsi="Palatino Linotype"/>
                <w:sz w:val="21"/>
                <w:szCs w:val="21"/>
              </w:rPr>
              <w:t xml:space="preserve">Native </w:t>
            </w:r>
            <w:proofErr w:type="spellStart"/>
            <w:r w:rsidR="00D31543" w:rsidRPr="00D04614">
              <w:rPr>
                <w:rFonts w:ascii="Palatino Linotype" w:hAnsi="Palatino Linotype"/>
                <w:sz w:val="21"/>
                <w:szCs w:val="21"/>
              </w:rPr>
              <w:t>Storiers</w:t>
            </w:r>
            <w:proofErr w:type="spellEnd"/>
            <w:r w:rsidR="00D31543" w:rsidRPr="00D04614">
              <w:rPr>
                <w:rFonts w:ascii="Palatino Linotype" w:hAnsi="Palatino Linotype"/>
                <w:sz w:val="21"/>
                <w:szCs w:val="21"/>
              </w:rPr>
              <w:t>: A Series of American Narratives (Lincoln: University of Nebraska Press, 2011), 25.</w:t>
            </w:r>
          </w:p>
        </w:tc>
      </w:tr>
      <w:tr w:rsidR="003172D1" w:rsidRPr="0036734E" w14:paraId="2709745A" w14:textId="77777777" w:rsidTr="003B7B9D">
        <w:trPr>
          <w:trHeight w:val="54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31C" w14:textId="77777777" w:rsidR="003B7B9D" w:rsidRPr="00D04614" w:rsidRDefault="003172D1" w:rsidP="00DC68D3">
            <w:pPr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Editor or Translator in addition </w:t>
            </w:r>
          </w:p>
          <w:p w14:paraId="7A90A977" w14:textId="2E8AE698" w:rsidR="003172D1" w:rsidRPr="00D04614" w:rsidRDefault="003172D1" w:rsidP="00DC68D3">
            <w:pPr>
              <w:ind w:right="-36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to author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17.1.1.1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321E" w14:textId="77777777" w:rsidR="003172D1" w:rsidRPr="00D04614" w:rsidRDefault="003172D1" w:rsidP="00CD3DB4">
            <w:pPr>
              <w:ind w:right="-63" w:firstLine="432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 xml:space="preserve">4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Georg Wilhelm Friedrich Hegel, </w:t>
            </w:r>
            <w:r w:rsidRPr="00D04614">
              <w:rPr>
                <w:rFonts w:ascii="Palatino Linotype" w:hAnsi="Palatino Linotype"/>
                <w:i/>
                <w:sz w:val="21"/>
                <w:szCs w:val="21"/>
              </w:rPr>
              <w:t xml:space="preserve">The Science of Logic, </w:t>
            </w:r>
            <w:proofErr w:type="gramStart"/>
            <w:r w:rsidRPr="00D04614">
              <w:rPr>
                <w:rFonts w:ascii="Palatino Linotype" w:hAnsi="Palatino Linotype"/>
                <w:sz w:val="21"/>
                <w:szCs w:val="21"/>
              </w:rPr>
              <w:t>ed.</w:t>
            </w:r>
            <w:proofErr w:type="gramEnd"/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 and trans. George di Giovanni (Cambridge: Cambridg</w:t>
            </w:r>
            <w:r w:rsidR="00501C30" w:rsidRPr="00D04614">
              <w:rPr>
                <w:rFonts w:ascii="Palatino Linotype" w:hAnsi="Palatino Linotype"/>
                <w:sz w:val="21"/>
                <w:szCs w:val="21"/>
              </w:rPr>
              <w:t>e University Press, 2010), 642-</w:t>
            </w:r>
            <w:r w:rsidR="009C3CCF" w:rsidRPr="00D04614">
              <w:rPr>
                <w:rFonts w:ascii="Palatino Linotype" w:hAnsi="Palatino Linotype"/>
                <w:sz w:val="21"/>
                <w:szCs w:val="21"/>
              </w:rPr>
              <w:t>4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3.</w:t>
            </w:r>
          </w:p>
        </w:tc>
      </w:tr>
      <w:tr w:rsidR="00EA4E90" w:rsidRPr="0036734E" w14:paraId="48308F27" w14:textId="77777777" w:rsidTr="003B7B9D">
        <w:trPr>
          <w:trHeight w:val="54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772A" w14:textId="77777777" w:rsidR="00EA4E90" w:rsidRPr="00D04614" w:rsidRDefault="00EA4E90" w:rsidP="001C18CC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Edited book</w:t>
            </w:r>
            <w:r w:rsidR="00D43B2E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: </w:t>
            </w:r>
            <w:r w:rsidR="00D43B2E" w:rsidRPr="00D04614">
              <w:rPr>
                <w:rFonts w:ascii="Palatino Linotype" w:hAnsi="Palatino Linotype"/>
                <w:sz w:val="21"/>
                <w:szCs w:val="21"/>
              </w:rPr>
              <w:t>N</w:t>
            </w:r>
            <w:r w:rsidR="000564B0" w:rsidRPr="00D04614">
              <w:rPr>
                <w:rFonts w:ascii="Palatino Linotype" w:hAnsi="Palatino Linotype"/>
                <w:sz w:val="21"/>
                <w:szCs w:val="21"/>
              </w:rPr>
              <w:t>o author</w:t>
            </w:r>
          </w:p>
          <w:p w14:paraId="09055144" w14:textId="027CB448" w:rsidR="000D37D6" w:rsidRPr="00D04614" w:rsidRDefault="000D37D6" w:rsidP="001C18CC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17.1.1.2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4A5D" w14:textId="77777777" w:rsidR="00EA4E90" w:rsidRPr="00D04614" w:rsidRDefault="00EA4E90" w:rsidP="00CD3DB4">
            <w:pPr>
              <w:ind w:right="-63" w:firstLine="432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>4</w:t>
            </w:r>
            <w:r w:rsidR="00B93A74"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 xml:space="preserve"> </w:t>
            </w:r>
            <w:r w:rsidR="00B93A74" w:rsidRPr="00D04614">
              <w:rPr>
                <w:rFonts w:ascii="Palatino Linotype" w:hAnsi="Palatino Linotype"/>
                <w:sz w:val="21"/>
                <w:szCs w:val="21"/>
              </w:rPr>
              <w:t>John D’Agata, ed., </w:t>
            </w:r>
            <w:r w:rsidR="00B93A74" w:rsidRPr="00D04614">
              <w:rPr>
                <w:rFonts w:ascii="Palatino Linotype" w:hAnsi="Palatino Linotype"/>
                <w:i/>
                <w:iCs/>
                <w:sz w:val="21"/>
                <w:szCs w:val="21"/>
              </w:rPr>
              <w:t>The Making of the American Essay</w:t>
            </w:r>
            <w:r w:rsidR="00B93A74" w:rsidRPr="00D04614">
              <w:rPr>
                <w:rFonts w:ascii="Palatino Linotype" w:hAnsi="Palatino Linotype"/>
                <w:sz w:val="21"/>
                <w:szCs w:val="21"/>
              </w:rPr>
              <w:t> (Minneapolis: Graywolf Press, 2016), 19–20.</w:t>
            </w:r>
          </w:p>
        </w:tc>
      </w:tr>
      <w:tr w:rsidR="00EA4E90" w:rsidRPr="0036734E" w14:paraId="125E1C1C" w14:textId="77777777" w:rsidTr="003B7B9D">
        <w:trPr>
          <w:trHeight w:val="674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9BF2" w14:textId="77777777" w:rsidR="00AA64A4" w:rsidRPr="00D04614" w:rsidRDefault="00B93A74" w:rsidP="001C18CC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C</w:t>
            </w:r>
            <w:r w:rsidR="00AA64A4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hapter </w:t>
            </w: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or other part of</w:t>
            </w:r>
            <w:r w:rsidR="00AA64A4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an</w:t>
            </w:r>
          </w:p>
          <w:p w14:paraId="6E9B3F0B" w14:textId="1788CBFA" w:rsidR="00EA4E90" w:rsidRPr="00D04614" w:rsidRDefault="00EA4E90" w:rsidP="001C18CC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edited book</w:t>
            </w:r>
            <w:r w:rsidR="000D37D6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17.1.8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8AC" w14:textId="77777777" w:rsidR="00EA4E90" w:rsidRPr="00D04614" w:rsidRDefault="00EA4E90" w:rsidP="00CD3DB4">
            <w:pPr>
              <w:ind w:right="-63" w:firstLine="432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>5</w:t>
            </w:r>
            <w:r w:rsidR="00B93A74"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 xml:space="preserve"> </w:t>
            </w:r>
            <w:r w:rsidR="00B93A74" w:rsidRPr="00D04614">
              <w:rPr>
                <w:rFonts w:ascii="Palatino Linotype" w:hAnsi="Palatino Linotype"/>
                <w:sz w:val="21"/>
                <w:szCs w:val="21"/>
              </w:rPr>
              <w:t>Mary Rowlandson, “The Narrative of My Captivity,” in </w:t>
            </w:r>
            <w:r w:rsidR="00B93A74" w:rsidRPr="00D04614">
              <w:rPr>
                <w:rFonts w:ascii="Palatino Linotype" w:hAnsi="Palatino Linotype"/>
                <w:i/>
                <w:iCs/>
                <w:sz w:val="21"/>
                <w:szCs w:val="21"/>
              </w:rPr>
              <w:t>The Making of the American Essay</w:t>
            </w:r>
            <w:r w:rsidR="00B93A74" w:rsidRPr="00D04614">
              <w:rPr>
                <w:rFonts w:ascii="Palatino Linotype" w:hAnsi="Palatino Linotype"/>
                <w:sz w:val="21"/>
                <w:szCs w:val="21"/>
              </w:rPr>
              <w:t>, ed. John D’Agata (Minneapolis: Graywolf Press, 2016), 19–20.</w:t>
            </w:r>
          </w:p>
        </w:tc>
      </w:tr>
      <w:tr w:rsidR="00EA4E90" w:rsidRPr="0036734E" w14:paraId="4F9FF2C0" w14:textId="77777777" w:rsidTr="003B7B9D">
        <w:trPr>
          <w:trHeight w:val="584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7AF" w14:textId="6FACFB76" w:rsidR="00EA4E90" w:rsidRPr="00D04614" w:rsidRDefault="00EA4E90" w:rsidP="001C18CC">
            <w:pPr>
              <w:tabs>
                <w:tab w:val="left" w:pos="2633"/>
              </w:tabs>
              <w:ind w:right="-68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Multi-volume work</w:t>
            </w:r>
            <w:r w:rsidR="00D43B2E" w:rsidRPr="00D04614">
              <w:rPr>
                <w:rFonts w:ascii="Palatino Linotype" w:hAnsi="Palatino Linotype"/>
                <w:b/>
                <w:sz w:val="21"/>
                <w:szCs w:val="21"/>
              </w:rPr>
              <w:t>:</w:t>
            </w:r>
            <w:r w:rsidR="00214FD6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  <w:r w:rsidR="00D43B2E" w:rsidRPr="00D04614">
              <w:rPr>
                <w:rFonts w:ascii="Palatino Linotype" w:hAnsi="Palatino Linotype"/>
                <w:sz w:val="21"/>
                <w:szCs w:val="21"/>
              </w:rPr>
              <w:t>S</w:t>
            </w:r>
            <w:r w:rsidR="00214FD6" w:rsidRPr="00D04614">
              <w:rPr>
                <w:rFonts w:ascii="Palatino Linotype" w:hAnsi="Palatino Linotype"/>
                <w:sz w:val="21"/>
                <w:szCs w:val="21"/>
              </w:rPr>
              <w:t>pecific volume</w:t>
            </w:r>
            <w:r w:rsidR="000D37D6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17.1.4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02D" w14:textId="77777777" w:rsidR="00EA4E90" w:rsidRPr="00D04614" w:rsidRDefault="00EA4E90" w:rsidP="00CD3DB4">
            <w:pPr>
              <w:ind w:right="-63" w:firstLine="432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>6</w:t>
            </w:r>
            <w:r w:rsidR="00214FD6"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 xml:space="preserve"> </w:t>
            </w:r>
            <w:r w:rsidR="00214FD6" w:rsidRPr="00D04614">
              <w:rPr>
                <w:rFonts w:ascii="Palatino Linotype" w:hAnsi="Palatino Linotype"/>
                <w:sz w:val="21"/>
                <w:szCs w:val="21"/>
              </w:rPr>
              <w:t xml:space="preserve">Hamid </w:t>
            </w:r>
            <w:proofErr w:type="spellStart"/>
            <w:r w:rsidR="00214FD6" w:rsidRPr="00D04614">
              <w:rPr>
                <w:rFonts w:ascii="Palatino Linotype" w:hAnsi="Palatino Linotype"/>
                <w:sz w:val="21"/>
                <w:szCs w:val="21"/>
              </w:rPr>
              <w:t>Naficy</w:t>
            </w:r>
            <w:proofErr w:type="spellEnd"/>
            <w:r w:rsidR="00214FD6" w:rsidRPr="00D04614">
              <w:rPr>
                <w:rFonts w:ascii="Palatino Linotype" w:hAnsi="Palatino Linotype"/>
                <w:sz w:val="21"/>
                <w:szCs w:val="21"/>
              </w:rPr>
              <w:t xml:space="preserve">, </w:t>
            </w:r>
            <w:r w:rsidR="00214FD6" w:rsidRPr="00D04614">
              <w:rPr>
                <w:rFonts w:ascii="Palatino Linotype" w:hAnsi="Palatino Linotype"/>
                <w:i/>
                <w:sz w:val="21"/>
                <w:szCs w:val="21"/>
              </w:rPr>
              <w:t xml:space="preserve">A Social History of Iranian Cinema, </w:t>
            </w:r>
            <w:r w:rsidR="00214FD6" w:rsidRPr="00D04614">
              <w:rPr>
                <w:rFonts w:ascii="Palatino Linotype" w:hAnsi="Palatino Linotype"/>
                <w:sz w:val="21"/>
                <w:szCs w:val="21"/>
              </w:rPr>
              <w:t xml:space="preserve">vol. 4, </w:t>
            </w:r>
            <w:r w:rsidR="00214FD6" w:rsidRPr="00D04614">
              <w:rPr>
                <w:rFonts w:ascii="Palatino Linotype" w:hAnsi="Palatino Linotype"/>
                <w:i/>
                <w:sz w:val="21"/>
                <w:szCs w:val="21"/>
              </w:rPr>
              <w:t xml:space="preserve">The Globalizing Era, 1984-2010 </w:t>
            </w:r>
            <w:r w:rsidR="00214FD6" w:rsidRPr="00D04614">
              <w:rPr>
                <w:rFonts w:ascii="Palatino Linotype" w:hAnsi="Palatino Linotype"/>
                <w:sz w:val="21"/>
                <w:szCs w:val="21"/>
              </w:rPr>
              <w:t>(Durham, NC: Duke University Press, 2012), 44.</w:t>
            </w:r>
          </w:p>
        </w:tc>
      </w:tr>
      <w:tr w:rsidR="00EA4E90" w:rsidRPr="0036734E" w14:paraId="424A7121" w14:textId="77777777" w:rsidTr="003B7B9D">
        <w:trPr>
          <w:trHeight w:val="647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98E0" w14:textId="6FEEE1EA" w:rsidR="00EA4E90" w:rsidRPr="00D04614" w:rsidRDefault="00EA4E90" w:rsidP="001C18CC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Journal article</w:t>
            </w:r>
            <w:r w:rsidR="000D37D6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17.2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 xml:space="preserve">. If accessed online, </w:t>
            </w:r>
            <w:r w:rsidR="00E14B92">
              <w:rPr>
                <w:rFonts w:ascii="Palatino Linotype" w:hAnsi="Palatino Linotype"/>
                <w:sz w:val="21"/>
                <w:szCs w:val="21"/>
              </w:rPr>
              <w:t>include the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 xml:space="preserve"> </w:t>
            </w:r>
            <w:proofErr w:type="spellStart"/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doi</w:t>
            </w:r>
            <w:proofErr w:type="spellEnd"/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D25" w14:textId="54FF4CCA" w:rsidR="00EA4E90" w:rsidRPr="00D04614" w:rsidRDefault="00116EBB" w:rsidP="00CD3DB4">
            <w:pPr>
              <w:ind w:right="-63" w:firstLine="432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 w:cs="Arial"/>
                <w:bCs/>
                <w:sz w:val="21"/>
                <w:szCs w:val="21"/>
                <w:vertAlign w:val="superscript"/>
              </w:rPr>
              <w:t>12</w:t>
            </w: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 xml:space="preserve"> Marjorie Garber, “Over the Influence,” </w:t>
            </w:r>
            <w:r w:rsidRPr="00D04614">
              <w:rPr>
                <w:rFonts w:ascii="Palatino Linotype" w:hAnsi="Palatino Linotype" w:cs="Arial"/>
                <w:bCs/>
                <w:i/>
                <w:sz w:val="21"/>
                <w:szCs w:val="21"/>
              </w:rPr>
              <w:t>Critical Inquiry</w:t>
            </w: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 xml:space="preserve"> 42, no. 4 (Summer 2016): 735, https://doi.org/10.1086/686960.</w:t>
            </w:r>
          </w:p>
        </w:tc>
      </w:tr>
      <w:tr w:rsidR="00787694" w:rsidRPr="0036734E" w14:paraId="18B8FC07" w14:textId="77777777" w:rsidTr="003B7B9D">
        <w:trPr>
          <w:trHeight w:val="116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4780" w14:textId="77777777" w:rsidR="00787694" w:rsidRPr="00D04614" w:rsidRDefault="00787694" w:rsidP="001C18CC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Website </w:t>
            </w:r>
            <w:r w:rsidR="009E6DB3" w:rsidRPr="00D04614">
              <w:rPr>
                <w:rFonts w:ascii="Palatino Linotype" w:hAnsi="Palatino Linotype"/>
                <w:b/>
                <w:sz w:val="21"/>
                <w:szCs w:val="21"/>
              </w:rPr>
              <w:t>content</w:t>
            </w:r>
            <w:r w:rsidR="000D37D6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</w:p>
          <w:p w14:paraId="615EDC1B" w14:textId="5C693F48" w:rsidR="009E6DB3" w:rsidRPr="00D04614" w:rsidRDefault="00050780" w:rsidP="001C18CC">
            <w:pPr>
              <w:tabs>
                <w:tab w:val="left" w:pos="2543"/>
              </w:tabs>
              <w:ind w:right="-85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Include an access date if no </w:t>
            </w:r>
            <w:r w:rsidR="009E6DB3" w:rsidRPr="00D04614">
              <w:rPr>
                <w:rFonts w:ascii="Palatino Linotype" w:hAnsi="Palatino Linotype"/>
                <w:sz w:val="21"/>
                <w:szCs w:val="21"/>
              </w:rPr>
              <w:t>date of pu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blication, posting, or revision</w:t>
            </w:r>
            <w:r w:rsidR="00D43B2E" w:rsidRPr="00D04614">
              <w:rPr>
                <w:rFonts w:ascii="Palatino Linotype" w:hAnsi="Palatino Linotype"/>
                <w:sz w:val="21"/>
                <w:szCs w:val="21"/>
              </w:rPr>
              <w:t xml:space="preserve"> 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17.5</w:t>
            </w:r>
            <w:r w:rsidR="00D43B2E"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339" w14:textId="7397D341" w:rsidR="00246765" w:rsidRPr="00D04614" w:rsidRDefault="00246765" w:rsidP="00CD3DB4">
            <w:pPr>
              <w:ind w:right="-63" w:firstLine="428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 xml:space="preserve">10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“History,” Columbia University, accessed May 15, 2017, http://www.columbia.edu/content/history.html.</w:t>
            </w:r>
          </w:p>
          <w:p w14:paraId="12671C65" w14:textId="4E0E339A" w:rsidR="00050780" w:rsidRPr="00D04614" w:rsidRDefault="00116EBB" w:rsidP="00246765">
            <w:pPr>
              <w:ind w:right="-63" w:firstLine="428"/>
              <w:rPr>
                <w:rFonts w:ascii="Palatino Linotype" w:hAnsi="Palatino Linotype"/>
                <w:sz w:val="21"/>
                <w:szCs w:val="21"/>
                <w:vertAlign w:val="superscript"/>
              </w:rPr>
            </w:pPr>
            <w:r w:rsidRPr="00D04614">
              <w:rPr>
                <w:rFonts w:ascii="Palatino Linotype" w:hAnsi="Palatino Linotype" w:cs="Arial"/>
                <w:bCs/>
                <w:sz w:val="21"/>
                <w:szCs w:val="21"/>
                <w:vertAlign w:val="superscript"/>
              </w:rPr>
              <w:t xml:space="preserve">11 </w:t>
            </w: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Anna Mitchell, “</w:t>
            </w:r>
            <w:r w:rsidRPr="00D04614">
              <w:rPr>
                <w:rFonts w:ascii="Palatino Linotype" w:hAnsi="Palatino Linotype" w:cs="Arial"/>
                <w:sz w:val="21"/>
                <w:szCs w:val="21"/>
              </w:rPr>
              <w:t>Taylor Film Students Place First in 2024 Broadcast Education Association</w:t>
            </w: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,” Taylor University, May 15, 2024, https://www.taylor.edu/news/</w:t>
            </w:r>
            <w:r w:rsidR="00D04614"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.</w:t>
            </w:r>
          </w:p>
        </w:tc>
      </w:tr>
      <w:tr w:rsidR="00D31543" w:rsidRPr="0036734E" w14:paraId="1A7B2DD1" w14:textId="77777777" w:rsidTr="003B7B9D">
        <w:trPr>
          <w:trHeight w:val="62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47E7" w14:textId="1D905EB3" w:rsidR="00D31543" w:rsidRPr="00D04614" w:rsidRDefault="00D31543" w:rsidP="001C18CC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Blog</w:t>
            </w:r>
            <w:r w:rsidR="000D37D6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17.5.2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1499" w14:textId="77777777" w:rsidR="00D31543" w:rsidRPr="00D04614" w:rsidRDefault="00D31543" w:rsidP="00CD3DB4">
            <w:pPr>
              <w:ind w:right="-63" w:firstLine="428"/>
              <w:rPr>
                <w:rFonts w:ascii="Palatino Linotype" w:hAnsi="Palatino Linotype"/>
                <w:sz w:val="21"/>
                <w:szCs w:val="21"/>
                <w:vertAlign w:val="superscript"/>
              </w:rPr>
            </w:pPr>
            <w:r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 xml:space="preserve">12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“27 Things I Learned about Money by 27,” </w:t>
            </w:r>
            <w:r w:rsidRPr="00D04614">
              <w:rPr>
                <w:rFonts w:ascii="Palatino Linotype" w:hAnsi="Palatino Linotype"/>
                <w:i/>
                <w:iCs/>
                <w:sz w:val="21"/>
                <w:szCs w:val="21"/>
              </w:rPr>
              <w:t>Broke Millennial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 (blog), May 27, 2016, accessed June 13, 2016, http://brokemillennial.com/2016/05/27/27-things-learned-money-27/.</w:t>
            </w:r>
          </w:p>
        </w:tc>
      </w:tr>
      <w:tr w:rsidR="00787694" w:rsidRPr="0036734E" w14:paraId="005CEB46" w14:textId="77777777" w:rsidTr="00E357BB">
        <w:trPr>
          <w:trHeight w:val="189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40D" w14:textId="77777777" w:rsidR="00E357BB" w:rsidRDefault="00787694" w:rsidP="001C18CC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Electronic book</w:t>
            </w:r>
            <w:r w:rsidR="000D37D6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17.1.10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  <w:r w:rsidR="00E357BB">
              <w:rPr>
                <w:rFonts w:ascii="Palatino Linotype" w:hAnsi="Palatino Linotype"/>
                <w:sz w:val="21"/>
                <w:szCs w:val="21"/>
              </w:rPr>
              <w:t xml:space="preserve"> </w:t>
            </w:r>
          </w:p>
          <w:p w14:paraId="3BE57590" w14:textId="5C9D7C61" w:rsidR="003772E9" w:rsidRPr="00D04614" w:rsidRDefault="00E357BB" w:rsidP="00E357BB">
            <w:pPr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For b</w:t>
            </w:r>
            <w:r w:rsidRPr="00500F9C">
              <w:rPr>
                <w:rFonts w:ascii="Palatino Linotype" w:hAnsi="Palatino Linotype" w:cs="Arial"/>
                <w:sz w:val="22"/>
                <w:szCs w:val="22"/>
              </w:rPr>
              <w:t>ooks consulted online</w:t>
            </w:r>
            <w:r>
              <w:rPr>
                <w:rFonts w:ascii="Palatino Linotype" w:hAnsi="Palatino Linotype" w:cs="Arial"/>
                <w:sz w:val="22"/>
                <w:szCs w:val="22"/>
              </w:rPr>
              <w:t>,</w:t>
            </w:r>
            <w:r w:rsidRPr="00500F9C">
              <w:rPr>
                <w:rFonts w:ascii="Palatino Linotype" w:hAnsi="Palatino Linotype" w:cs="Arial"/>
                <w:sz w:val="22"/>
                <w:szCs w:val="22"/>
              </w:rPr>
              <w:t xml:space="preserve"> include a URL or the name of 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 </w:t>
            </w:r>
            <w:r w:rsidRPr="00500F9C">
              <w:rPr>
                <w:rFonts w:ascii="Palatino Linotype" w:hAnsi="Palatino Linotype" w:cs="Arial"/>
                <w:sz w:val="22"/>
                <w:szCs w:val="22"/>
              </w:rPr>
              <w:t xml:space="preserve">the database. </w:t>
            </w:r>
            <w:r>
              <w:rPr>
                <w:rFonts w:ascii="Palatino Linotype" w:hAnsi="Palatino Linotype" w:cs="Arial"/>
                <w:sz w:val="22"/>
                <w:szCs w:val="22"/>
              </w:rPr>
              <w:t>For ot</w:t>
            </w:r>
            <w:r w:rsidRPr="00500F9C">
              <w:rPr>
                <w:rFonts w:ascii="Palatino Linotype" w:hAnsi="Palatino Linotype" w:cs="Arial"/>
                <w:sz w:val="22"/>
                <w:szCs w:val="22"/>
              </w:rPr>
              <w:t xml:space="preserve">her types 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    </w:t>
            </w:r>
            <w:r w:rsidRPr="00500F9C">
              <w:rPr>
                <w:rFonts w:ascii="Palatino Linotype" w:hAnsi="Palatino Linotype" w:cs="Arial"/>
                <w:sz w:val="22"/>
                <w:szCs w:val="22"/>
              </w:rPr>
              <w:t>of ebook</w:t>
            </w:r>
            <w:r>
              <w:rPr>
                <w:rFonts w:ascii="Palatino Linotype" w:hAnsi="Palatino Linotype" w:cs="Arial"/>
                <w:sz w:val="22"/>
                <w:szCs w:val="22"/>
              </w:rPr>
              <w:t>s,</w:t>
            </w:r>
            <w:r w:rsidRPr="00500F9C">
              <w:rPr>
                <w:rFonts w:ascii="Palatino Linotype" w:hAnsi="Palatino Linotype" w:cs="Arial"/>
                <w:sz w:val="22"/>
                <w:szCs w:val="22"/>
              </w:rPr>
              <w:t xml:space="preserve"> name the format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   (e.g., Kindle)</w:t>
            </w:r>
            <w:r w:rsidRPr="00500F9C">
              <w:rPr>
                <w:rFonts w:ascii="Palatino Linotype" w:hAnsi="Palatino Linotype" w:cs="Arial"/>
                <w:sz w:val="22"/>
                <w:szCs w:val="22"/>
              </w:rPr>
              <w:t>.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F3A5" w14:textId="211EFA63" w:rsidR="00787694" w:rsidRDefault="00BF5CD5" w:rsidP="00CD3DB4">
            <w:pPr>
              <w:ind w:right="-63"/>
              <w:rPr>
                <w:rFonts w:ascii="Palatino Linotype" w:hAnsi="Palatino Linotype" w:cs="Arial"/>
                <w:sz w:val="21"/>
                <w:szCs w:val="21"/>
              </w:rPr>
            </w:pPr>
            <w:r w:rsidRPr="00BF5CD5">
              <w:rPr>
                <w:rFonts w:ascii="Palatino Linotype" w:hAnsi="Palatino Linotype" w:cs="Arial"/>
                <w:sz w:val="21"/>
                <w:szCs w:val="21"/>
              </w:rPr>
              <w:t>If no fixed page numbers are available, either cite a section title, chapter, or other number in the notes, or track down a version with fixed page numbers.</w:t>
            </w:r>
          </w:p>
          <w:p w14:paraId="530D7D5E" w14:textId="77777777" w:rsidR="00E357BB" w:rsidRPr="00D04614" w:rsidRDefault="00E357BB" w:rsidP="00CD3DB4">
            <w:pPr>
              <w:ind w:right="-63"/>
              <w:rPr>
                <w:rFonts w:ascii="Palatino Linotype" w:hAnsi="Palatino Linotype" w:cs="Arial"/>
                <w:sz w:val="21"/>
                <w:szCs w:val="21"/>
              </w:rPr>
            </w:pPr>
          </w:p>
          <w:p w14:paraId="4D1EF514" w14:textId="77777777" w:rsidR="00787694" w:rsidRPr="00D04614" w:rsidRDefault="00787694" w:rsidP="00CD3DB4">
            <w:pPr>
              <w:ind w:right="-63" w:firstLine="428"/>
              <w:rPr>
                <w:rFonts w:ascii="Palatino Linotype" w:hAnsi="Palatino Linotype" w:cs="Arial"/>
                <w:bCs/>
                <w:sz w:val="21"/>
                <w:szCs w:val="21"/>
              </w:rPr>
            </w:pPr>
            <w:r w:rsidRPr="00D04614">
              <w:rPr>
                <w:rFonts w:ascii="Palatino Linotype" w:hAnsi="Palatino Linotype" w:cs="Arial"/>
                <w:bCs/>
                <w:sz w:val="21"/>
                <w:szCs w:val="21"/>
                <w:vertAlign w:val="superscript"/>
              </w:rPr>
              <w:t xml:space="preserve">11 </w:t>
            </w: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Eric Schlosser, </w:t>
            </w:r>
            <w:r w:rsidRPr="00D04614">
              <w:rPr>
                <w:rFonts w:ascii="Palatino Linotype" w:hAnsi="Palatino Linotype" w:cs="Arial"/>
                <w:bCs/>
                <w:i/>
                <w:iCs/>
                <w:sz w:val="21"/>
                <w:szCs w:val="21"/>
              </w:rPr>
              <w:t xml:space="preserve">Fast Food Nation: The Dark Side of the American Meal </w:t>
            </w: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(Boston: Houghton Mifflin, 2001), 88, ProQuest Ebrary.</w:t>
            </w:r>
          </w:p>
          <w:p w14:paraId="37ACEF16" w14:textId="77777777" w:rsidR="00787694" w:rsidRPr="00D04614" w:rsidRDefault="00787694" w:rsidP="00CD3DB4">
            <w:pPr>
              <w:ind w:right="-63" w:firstLine="428"/>
              <w:rPr>
                <w:rFonts w:ascii="Palatino Linotype" w:hAnsi="Palatino Linotype" w:cs="Arial"/>
                <w:bCs/>
                <w:sz w:val="21"/>
                <w:szCs w:val="21"/>
              </w:rPr>
            </w:pPr>
            <w:r w:rsidRPr="00D04614">
              <w:rPr>
                <w:rFonts w:ascii="Palatino Linotype" w:hAnsi="Palatino Linotype" w:cs="Arial"/>
                <w:sz w:val="21"/>
                <w:szCs w:val="21"/>
                <w:vertAlign w:val="superscript"/>
              </w:rPr>
              <w:t xml:space="preserve">12 </w:t>
            </w: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Jane Austen, </w:t>
            </w:r>
            <w:r w:rsidRPr="00D04614">
              <w:rPr>
                <w:rFonts w:ascii="Palatino Linotype" w:hAnsi="Palatino Linotype" w:cs="Arial"/>
                <w:bCs/>
                <w:i/>
                <w:iCs/>
                <w:sz w:val="21"/>
                <w:szCs w:val="21"/>
              </w:rPr>
              <w:t>Pride and Prejudice</w:t>
            </w: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 (New York: Penguin Classics, 2007), chap. 3, Kindle.</w:t>
            </w:r>
          </w:p>
        </w:tc>
      </w:tr>
      <w:tr w:rsidR="00D43B2E" w:rsidRPr="0036734E" w14:paraId="26AA69ED" w14:textId="77777777" w:rsidTr="003B7B9D">
        <w:trPr>
          <w:trHeight w:val="602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8C76" w14:textId="77777777" w:rsidR="00D43B2E" w:rsidRPr="00D04614" w:rsidRDefault="00D43B2E" w:rsidP="00D43B2E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Commentaries: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Single </w:t>
            </w:r>
          </w:p>
          <w:p w14:paraId="1AAB4EE8" w14:textId="77777777" w:rsidR="00D43B2E" w:rsidRPr="00D04614" w:rsidRDefault="00D43B2E" w:rsidP="00D43B2E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>author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D970" w14:textId="77777777" w:rsidR="00D43B2E" w:rsidRPr="00D04614" w:rsidRDefault="00D43B2E" w:rsidP="00CD3DB4">
            <w:pPr>
              <w:ind w:right="-63" w:firstLine="428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 xml:space="preserve">9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Craig L. Blomberg, </w:t>
            </w:r>
            <w:r w:rsidRPr="00D04614">
              <w:rPr>
                <w:rFonts w:ascii="Palatino Linotype" w:hAnsi="Palatino Linotype"/>
                <w:i/>
                <w:iCs/>
                <w:sz w:val="21"/>
                <w:szCs w:val="21"/>
              </w:rPr>
              <w:t>Matthew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 (Nashville: Broadman, 1992).</w:t>
            </w:r>
          </w:p>
          <w:p w14:paraId="23E86D00" w14:textId="77777777" w:rsidR="00D43B2E" w:rsidRPr="00D04614" w:rsidRDefault="00D43B2E" w:rsidP="00D43B2E">
            <w:pPr>
              <w:ind w:right="-63"/>
              <w:rPr>
                <w:rFonts w:ascii="Palatino Linotype" w:hAnsi="Palatino Linotype"/>
                <w:sz w:val="21"/>
                <w:szCs w:val="21"/>
                <w:vertAlign w:val="superscript"/>
              </w:rPr>
            </w:pPr>
          </w:p>
        </w:tc>
      </w:tr>
      <w:tr w:rsidR="00D43B2E" w:rsidRPr="0036734E" w14:paraId="73F529D1" w14:textId="77777777" w:rsidTr="003B7B9D">
        <w:trPr>
          <w:trHeight w:val="26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632A" w14:textId="77777777" w:rsidR="00D43B2E" w:rsidRPr="00D04614" w:rsidRDefault="00D43B2E" w:rsidP="00D43B2E">
            <w:pPr>
              <w:tabs>
                <w:tab w:val="left" w:pos="2550"/>
              </w:tabs>
              <w:ind w:right="-238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Commentaries: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Specific author among a multi-author volume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9B2" w14:textId="77777777" w:rsidR="00D43B2E" w:rsidRPr="00D04614" w:rsidRDefault="00D43B2E" w:rsidP="00EC634F">
            <w:pPr>
              <w:ind w:right="-63" w:firstLine="432"/>
              <w:rPr>
                <w:rFonts w:ascii="Palatino Linotype" w:hAnsi="Palatino Linotype" w:cs="Arial"/>
                <w:sz w:val="21"/>
                <w:szCs w:val="21"/>
                <w:vertAlign w:val="superscript"/>
              </w:rPr>
            </w:pPr>
            <w:r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 xml:space="preserve">10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William W. Klein, “Ephesians,” in </w:t>
            </w:r>
            <w:r w:rsidRPr="00D04614">
              <w:rPr>
                <w:rFonts w:ascii="Palatino Linotype" w:hAnsi="Palatino Linotype"/>
                <w:i/>
                <w:iCs/>
                <w:sz w:val="21"/>
                <w:szCs w:val="21"/>
              </w:rPr>
              <w:t>Expositor’s Bible Commentary Revised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, ed</w:t>
            </w:r>
            <w:r w:rsidR="00EC634F" w:rsidRPr="00D04614">
              <w:rPr>
                <w:rFonts w:ascii="Palatino Linotype" w:hAnsi="Palatino Linotype"/>
                <w:sz w:val="21"/>
                <w:szCs w:val="21"/>
              </w:rPr>
              <w:t>.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 David E. Garland and Tremper Longman III, vol. 12 (Grand Rapids: Zondervan, 2006), 114-16.</w:t>
            </w:r>
          </w:p>
        </w:tc>
      </w:tr>
      <w:tr w:rsidR="00787694" w:rsidRPr="0036734E" w14:paraId="12C69213" w14:textId="77777777" w:rsidTr="00D04614">
        <w:trPr>
          <w:trHeight w:val="854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F9F3" w14:textId="77777777" w:rsidR="00787694" w:rsidRPr="00D04614" w:rsidRDefault="0002360E" w:rsidP="001C18CC">
            <w:pPr>
              <w:tabs>
                <w:tab w:val="left" w:pos="2633"/>
              </w:tabs>
              <w:ind w:right="-68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Bible: </w:t>
            </w:r>
            <w:r w:rsidRPr="00D04614">
              <w:rPr>
                <w:rFonts w:ascii="Palatino Linotype" w:hAnsi="Palatino Linotype"/>
                <w:bCs/>
                <w:sz w:val="21"/>
                <w:szCs w:val="21"/>
              </w:rPr>
              <w:t>R</w:t>
            </w:r>
            <w:r w:rsidR="007D5F50" w:rsidRPr="00D04614">
              <w:rPr>
                <w:rFonts w:ascii="Palatino Linotype" w:hAnsi="Palatino Linotype"/>
                <w:bCs/>
                <w:sz w:val="21"/>
                <w:szCs w:val="21"/>
              </w:rPr>
              <w:t>eference material</w:t>
            </w:r>
          </w:p>
          <w:p w14:paraId="14D8B094" w14:textId="77777777" w:rsidR="00ED53B6" w:rsidRPr="00D04614" w:rsidRDefault="00ED53B6" w:rsidP="001C18CC">
            <w:pPr>
              <w:tabs>
                <w:tab w:val="left" w:pos="2633"/>
              </w:tabs>
              <w:ind w:right="-68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D450" w14:textId="4233483D" w:rsidR="0002360E" w:rsidRDefault="0002360E" w:rsidP="00CD3DB4">
            <w:pPr>
              <w:tabs>
                <w:tab w:val="num" w:pos="720"/>
              </w:tabs>
              <w:ind w:right="-63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>Study notes, footnotes, etc., are treated as part of an edited collection</w:t>
            </w:r>
            <w:r w:rsidR="00A95D9C" w:rsidRPr="00D04614">
              <w:rPr>
                <w:rFonts w:ascii="Palatino Linotype" w:hAnsi="Palatino Linotype"/>
                <w:sz w:val="21"/>
                <w:szCs w:val="21"/>
              </w:rPr>
              <w:t xml:space="preserve"> (</w:t>
            </w:r>
            <w:r w:rsidR="00D04614" w:rsidRPr="00D04614">
              <w:rPr>
                <w:rFonts w:ascii="Palatino Linotype" w:hAnsi="Palatino Linotype"/>
                <w:sz w:val="21"/>
                <w:szCs w:val="21"/>
              </w:rPr>
              <w:t>17.1.8.2</w:t>
            </w:r>
            <w:r w:rsidR="00ED53B6"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.</w:t>
            </w:r>
          </w:p>
          <w:p w14:paraId="09AFACD9" w14:textId="77777777" w:rsidR="00E357BB" w:rsidRPr="00D04614" w:rsidRDefault="00E357BB" w:rsidP="00CD3DB4">
            <w:pPr>
              <w:tabs>
                <w:tab w:val="num" w:pos="720"/>
              </w:tabs>
              <w:ind w:right="-63"/>
              <w:rPr>
                <w:rFonts w:ascii="Palatino Linotype" w:hAnsi="Palatino Linotype"/>
                <w:sz w:val="21"/>
                <w:szCs w:val="21"/>
              </w:rPr>
            </w:pPr>
          </w:p>
          <w:p w14:paraId="4CAFE3E4" w14:textId="4ACB1C16" w:rsidR="00787694" w:rsidRPr="00D04614" w:rsidRDefault="007D5F50" w:rsidP="00F07DA0">
            <w:pPr>
              <w:tabs>
                <w:tab w:val="num" w:pos="720"/>
              </w:tabs>
              <w:ind w:right="-63" w:firstLine="392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>11</w:t>
            </w:r>
            <w:r w:rsidR="00E26A98" w:rsidRPr="00D04614">
              <w:rPr>
                <w:rFonts w:ascii="Palatino Linotype" w:hAnsi="Palatino Linotype"/>
                <w:sz w:val="21"/>
                <w:szCs w:val="21"/>
              </w:rPr>
              <w:t>Author, "Footnote Romans</w:t>
            </w:r>
            <w:r w:rsidR="00DA3F32" w:rsidRPr="00D04614">
              <w:rPr>
                <w:rFonts w:ascii="Palatino Linotype" w:hAnsi="Palatino Linotype"/>
                <w:sz w:val="21"/>
                <w:szCs w:val="21"/>
              </w:rPr>
              <w:t xml:space="preserve"> 3:15, 16," in </w:t>
            </w:r>
            <w:r w:rsidR="00DA3F32" w:rsidRPr="00D04614">
              <w:rPr>
                <w:rFonts w:ascii="Palatino Linotype" w:hAnsi="Palatino Linotype"/>
                <w:i/>
                <w:sz w:val="21"/>
                <w:szCs w:val="21"/>
              </w:rPr>
              <w:t>The Orthodox Study Bible</w:t>
            </w:r>
            <w:r w:rsidR="00DA3F32" w:rsidRPr="00D04614">
              <w:rPr>
                <w:rFonts w:ascii="Palatino Linotype" w:hAnsi="Palatino Linotype"/>
                <w:sz w:val="21"/>
                <w:szCs w:val="21"/>
              </w:rPr>
              <w:t xml:space="preserve">, ed. [general editor / </w:t>
            </w:r>
            <w:r w:rsidR="00A360AC" w:rsidRPr="00D04614">
              <w:rPr>
                <w:rFonts w:ascii="Palatino Linotype" w:hAnsi="Palatino Linotype"/>
                <w:sz w:val="21"/>
                <w:szCs w:val="21"/>
              </w:rPr>
              <w:t>organization serving as editor]</w:t>
            </w:r>
            <w:r w:rsidR="00DA3F32" w:rsidRPr="00D04614">
              <w:rPr>
                <w:rFonts w:ascii="Palatino Linotype" w:hAnsi="Palatino Linotype"/>
                <w:sz w:val="21"/>
                <w:szCs w:val="21"/>
              </w:rPr>
              <w:t xml:space="preserve"> (Publication City: Publisher, year), x.</w:t>
            </w:r>
          </w:p>
        </w:tc>
      </w:tr>
      <w:tr w:rsidR="00787694" w:rsidRPr="0036734E" w14:paraId="10BDEA92" w14:textId="77777777" w:rsidTr="003B7B9D">
        <w:trPr>
          <w:trHeight w:val="61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9A1F" w14:textId="77777777" w:rsidR="00787694" w:rsidRPr="00D04614" w:rsidRDefault="00C875E2" w:rsidP="001C18CC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Class Lecture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9273" w14:textId="275332D9" w:rsidR="00787694" w:rsidRPr="00D04614" w:rsidRDefault="008A6C94" w:rsidP="00CD3DB4">
            <w:pPr>
              <w:ind w:right="-63" w:firstLine="392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 xml:space="preserve">12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David </w:t>
            </w:r>
            <w:proofErr w:type="spellStart"/>
            <w:r w:rsidRPr="00D04614">
              <w:rPr>
                <w:rFonts w:ascii="Palatino Linotype" w:hAnsi="Palatino Linotype"/>
                <w:sz w:val="21"/>
                <w:szCs w:val="21"/>
              </w:rPr>
              <w:t>Buschart</w:t>
            </w:r>
            <w:proofErr w:type="spellEnd"/>
            <w:r w:rsidRPr="00D04614">
              <w:rPr>
                <w:rFonts w:ascii="Palatino Linotype" w:hAnsi="Palatino Linotype"/>
                <w:sz w:val="21"/>
                <w:szCs w:val="21"/>
              </w:rPr>
              <w:t>, “Title of Lecture” (lecture, Denver Seminary, Littleton, CO, Month X, 20</w:t>
            </w:r>
            <w:r w:rsidR="00BF5CD5">
              <w:rPr>
                <w:rFonts w:ascii="Palatino Linotype" w:hAnsi="Palatino Linotype"/>
                <w:sz w:val="21"/>
                <w:szCs w:val="21"/>
              </w:rPr>
              <w:t>24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).</w:t>
            </w:r>
          </w:p>
        </w:tc>
      </w:tr>
      <w:tr w:rsidR="00214FD6" w:rsidRPr="0036734E" w14:paraId="5D2A3884" w14:textId="77777777" w:rsidTr="00D04614">
        <w:trPr>
          <w:trHeight w:val="54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DA2" w14:textId="77777777" w:rsidR="00214FD6" w:rsidRPr="00D04614" w:rsidRDefault="00214FD6" w:rsidP="001C18CC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Personal communication</w:t>
            </w:r>
          </w:p>
          <w:p w14:paraId="0A982B58" w14:textId="4EA6C0CF" w:rsidR="000D37D6" w:rsidRPr="00D04614" w:rsidRDefault="000D37D6" w:rsidP="001C18CC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17.6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7A22" w14:textId="77777777" w:rsidR="00214FD6" w:rsidRPr="00D04614" w:rsidRDefault="00214FD6" w:rsidP="00CD3DB4">
            <w:pPr>
              <w:ind w:right="-63" w:firstLine="392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>14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 Sam Gomez, Facebook message to author, August 1, 2017.</w:t>
            </w:r>
          </w:p>
          <w:p w14:paraId="08310F72" w14:textId="2423EC49" w:rsidR="00214FD6" w:rsidRPr="00D04614" w:rsidRDefault="00214FD6" w:rsidP="00D04614">
            <w:pPr>
              <w:ind w:right="-63" w:firstLine="392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>15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 Interview with home health aide, July 31, 2017.</w:t>
            </w:r>
            <w:r w:rsidR="00D04614" w:rsidRPr="00D04614">
              <w:rPr>
                <w:rFonts w:ascii="Palatino Linotype" w:hAnsi="Palatino Linotype"/>
                <w:sz w:val="21"/>
                <w:szCs w:val="21"/>
              </w:rPr>
              <w:t xml:space="preserve"> </w:t>
            </w:r>
          </w:p>
        </w:tc>
      </w:tr>
      <w:tr w:rsidR="00D04614" w:rsidRPr="0036734E" w14:paraId="29694055" w14:textId="77777777" w:rsidTr="00D04614">
        <w:trPr>
          <w:trHeight w:val="54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2BF" w14:textId="7C7A7CAF" w:rsidR="00D04614" w:rsidRPr="00D04614" w:rsidRDefault="00D04614" w:rsidP="001C18CC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Theses and dissertations </w:t>
            </w:r>
            <w:r>
              <w:rPr>
                <w:rFonts w:ascii="Palatino Linotype" w:hAnsi="Palatino Linotype"/>
                <w:b/>
                <w:sz w:val="21"/>
                <w:szCs w:val="21"/>
              </w:rPr>
              <w:t xml:space="preserve">     </w:t>
            </w:r>
            <w:r w:rsidRPr="00D04614">
              <w:rPr>
                <w:rFonts w:ascii="Palatino Linotype" w:hAnsi="Palatino Linotype"/>
                <w:bCs/>
                <w:sz w:val="21"/>
                <w:szCs w:val="21"/>
              </w:rPr>
              <w:t>(17.7.1)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FB3D" w14:textId="048661A2" w:rsidR="00D04614" w:rsidRPr="00D04614" w:rsidRDefault="00D04614" w:rsidP="00CD3DB4">
            <w:pPr>
              <w:ind w:right="-63" w:firstLine="392"/>
              <w:rPr>
                <w:rFonts w:ascii="Palatino Linotype" w:hAnsi="Palatino Linotype"/>
                <w:sz w:val="21"/>
                <w:szCs w:val="21"/>
                <w:vertAlign w:val="superscript"/>
              </w:rPr>
            </w:pPr>
            <w:r w:rsidRPr="00D04614">
              <w:rPr>
                <w:rFonts w:ascii="Palatino Linotype" w:hAnsi="Palatino Linotype"/>
                <w:sz w:val="21"/>
                <w:szCs w:val="21"/>
                <w:vertAlign w:val="superscript"/>
              </w:rPr>
              <w:t xml:space="preserve">5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Karen Leigh Culcasi, “Cartographic Representations of Kurdistan in the Print Media” (PhD diss., Syracuse University, 2003), 15.</w:t>
            </w:r>
          </w:p>
        </w:tc>
      </w:tr>
    </w:tbl>
    <w:p w14:paraId="25BD4731" w14:textId="77777777" w:rsidR="00D04614" w:rsidRDefault="00D04614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br w:type="page"/>
      </w:r>
    </w:p>
    <w:p w14:paraId="6B775061" w14:textId="1584E120" w:rsidR="00EA4E90" w:rsidRDefault="00EA4E90" w:rsidP="0036734E">
      <w:pPr>
        <w:jc w:val="center"/>
        <w:rPr>
          <w:rFonts w:ascii="Palatino Linotype" w:hAnsi="Palatino Linotype"/>
          <w:b/>
          <w:sz w:val="28"/>
          <w:szCs w:val="28"/>
        </w:rPr>
      </w:pPr>
      <w:r w:rsidRPr="00AF238D">
        <w:rPr>
          <w:rFonts w:ascii="Palatino Linotype" w:hAnsi="Palatino Linotype"/>
          <w:b/>
          <w:sz w:val="28"/>
          <w:szCs w:val="28"/>
        </w:rPr>
        <w:lastRenderedPageBreak/>
        <w:t>Bibliography</w:t>
      </w:r>
    </w:p>
    <w:p w14:paraId="61CEC0F0" w14:textId="77777777" w:rsidR="00EA4E90" w:rsidRPr="00877D50" w:rsidRDefault="00EA4E90" w:rsidP="00661351">
      <w:pPr>
        <w:ind w:right="-360"/>
        <w:rPr>
          <w:rFonts w:ascii="Palatino Linotype" w:hAnsi="Palatino Linotype"/>
          <w:sz w:val="16"/>
          <w:szCs w:val="16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5"/>
        <w:gridCol w:w="8280"/>
      </w:tblGrid>
      <w:tr w:rsidR="00040DD7" w:rsidRPr="0036734E" w14:paraId="1B56F81F" w14:textId="77777777" w:rsidTr="00F46BCD">
        <w:trPr>
          <w:trHeight w:val="197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FD4" w14:textId="77777777" w:rsidR="00EA4E90" w:rsidRPr="0036734E" w:rsidRDefault="00EA4E90" w:rsidP="00DC68D3">
            <w:pPr>
              <w:ind w:right="-36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6734E">
              <w:rPr>
                <w:rFonts w:ascii="Palatino Linotype" w:hAnsi="Palatino Linotype"/>
                <w:b/>
                <w:sz w:val="20"/>
                <w:szCs w:val="20"/>
              </w:rPr>
              <w:t>TYPE OF SOURCE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8D48" w14:textId="77777777" w:rsidR="00EA4E90" w:rsidRPr="0036734E" w:rsidRDefault="00EA4E90" w:rsidP="00DC68D3">
            <w:pPr>
              <w:ind w:right="-36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6734E">
              <w:rPr>
                <w:rFonts w:ascii="Palatino Linotype" w:hAnsi="Palatino Linotype"/>
                <w:b/>
                <w:sz w:val="20"/>
                <w:szCs w:val="20"/>
              </w:rPr>
              <w:t>BIBLIOGRAPHY ENTRY</w:t>
            </w:r>
          </w:p>
        </w:tc>
      </w:tr>
      <w:tr w:rsidR="00040DD7" w:rsidRPr="00D04614" w14:paraId="7F9D2E0E" w14:textId="77777777" w:rsidTr="00F46BCD">
        <w:trPr>
          <w:trHeight w:val="66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857D" w14:textId="64E86208" w:rsidR="00EA4E90" w:rsidRPr="00D04614" w:rsidRDefault="00EA4E90" w:rsidP="00DC68D3">
            <w:pPr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Book</w:t>
            </w:r>
            <w:r w:rsidR="000D37D6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(17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.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1)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082" w14:textId="27A2B854" w:rsidR="00EA4E90" w:rsidRPr="00D04614" w:rsidRDefault="00C0443F" w:rsidP="00DC68D3">
            <w:pPr>
              <w:ind w:left="432" w:right="-360" w:hanging="450"/>
              <w:rPr>
                <w:rFonts w:ascii="Palatino Linotype" w:hAnsi="Palatino Linotype"/>
                <w:sz w:val="21"/>
                <w:szCs w:val="21"/>
              </w:rPr>
            </w:pPr>
            <w:r w:rsidRPr="00622FC0">
              <w:rPr>
                <w:rFonts w:ascii="Palatino Linotype" w:hAnsi="Palatino Linotype"/>
                <w:sz w:val="22"/>
                <w:szCs w:val="22"/>
              </w:rPr>
              <w:t xml:space="preserve">Foley, Douglas E. </w:t>
            </w:r>
            <w:r w:rsidRPr="00622FC0">
              <w:rPr>
                <w:rFonts w:ascii="Palatino Linotype" w:hAnsi="Palatino Linotype"/>
                <w:i/>
                <w:iCs/>
                <w:sz w:val="22"/>
                <w:szCs w:val="22"/>
              </w:rPr>
              <w:t>Learning Capitalist Culture</w:t>
            </w:r>
            <w:r>
              <w:rPr>
                <w:rFonts w:ascii="Palatino Linotype" w:hAnsi="Palatino Linotype"/>
                <w:i/>
                <w:iCs/>
                <w:sz w:val="22"/>
                <w:szCs w:val="22"/>
              </w:rPr>
              <w:t>.</w:t>
            </w:r>
            <w:r w:rsidRPr="00622FC0">
              <w:rPr>
                <w:rFonts w:ascii="Palatino Linotype" w:hAnsi="Palatino Linotype"/>
                <w:sz w:val="22"/>
                <w:szCs w:val="22"/>
              </w:rPr>
              <w:t xml:space="preserve"> 2nd ed. Philadelphia: University of Pennsylvania Press, 2010.</w:t>
            </w:r>
          </w:p>
        </w:tc>
      </w:tr>
      <w:tr w:rsidR="00040DD7" w:rsidRPr="00D04614" w14:paraId="7E029501" w14:textId="77777777" w:rsidTr="00F46BCD">
        <w:trPr>
          <w:trHeight w:val="647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BF54" w14:textId="73E5AAF8" w:rsidR="00EA4E90" w:rsidRPr="00D04614" w:rsidRDefault="00EA4E90" w:rsidP="00DC68D3">
            <w:pPr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Book in a series</w:t>
            </w:r>
            <w:r w:rsidR="000D37D6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7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.1.5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D740" w14:textId="0A140C83" w:rsidR="00EA4E90" w:rsidRPr="00D04614" w:rsidRDefault="00D31543" w:rsidP="0002360E">
            <w:pPr>
              <w:ind w:left="432" w:right="-144" w:hanging="446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Stein, Gertrude. </w:t>
            </w:r>
            <w:r w:rsidRPr="00D04614">
              <w:rPr>
                <w:rFonts w:ascii="Palatino Linotype" w:hAnsi="Palatino Linotype"/>
                <w:i/>
                <w:sz w:val="21"/>
                <w:szCs w:val="21"/>
              </w:rPr>
              <w:t>Selections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.</w:t>
            </w:r>
            <w:r w:rsidR="00214FD6" w:rsidRPr="00D04614">
              <w:rPr>
                <w:rFonts w:ascii="Palatino Linotype" w:hAnsi="Palatino Linotype"/>
                <w:sz w:val="21"/>
                <w:szCs w:val="21"/>
              </w:rPr>
              <w:t xml:space="preserve"> Edited by Joan Retallack.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 Poets for the Millennium, edited by Pierre Joris, vol. 6. Berkeley: University of California Press, 2008.</w:t>
            </w:r>
          </w:p>
        </w:tc>
      </w:tr>
      <w:tr w:rsidR="00040DD7" w:rsidRPr="00D04614" w14:paraId="5D1D180C" w14:textId="77777777" w:rsidTr="00F46BCD">
        <w:trPr>
          <w:trHeight w:val="647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AF43" w14:textId="77777777" w:rsidR="003B7B9D" w:rsidRPr="00D04614" w:rsidRDefault="003172D1" w:rsidP="00DC68D3">
            <w:pPr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Editor or Translator in addition </w:t>
            </w:r>
          </w:p>
          <w:p w14:paraId="441B30A3" w14:textId="58E93883" w:rsidR="003172D1" w:rsidRPr="00D04614" w:rsidRDefault="003172D1" w:rsidP="00DC68D3">
            <w:pPr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to author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17.1.1.1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EFF" w14:textId="3E30BA5B" w:rsidR="003172D1" w:rsidRPr="00D04614" w:rsidRDefault="003172D1" w:rsidP="003172D1">
            <w:pPr>
              <w:ind w:left="432" w:right="-60" w:hanging="45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Hegel, Georg Wilhelm Friedrich. </w:t>
            </w:r>
            <w:r w:rsidRPr="00D04614">
              <w:rPr>
                <w:rFonts w:ascii="Palatino Linotype" w:hAnsi="Palatino Linotype"/>
                <w:i/>
                <w:sz w:val="21"/>
                <w:szCs w:val="21"/>
              </w:rPr>
              <w:t xml:space="preserve">The Science of Logic.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Edited and translated by George di Giovanni. Cambridge: Cambridge University Press, 2010.</w:t>
            </w:r>
          </w:p>
        </w:tc>
      </w:tr>
      <w:tr w:rsidR="00040DD7" w:rsidRPr="00D04614" w14:paraId="6090690C" w14:textId="77777777" w:rsidTr="00F46BCD">
        <w:trPr>
          <w:trHeight w:val="647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7547" w14:textId="77777777" w:rsidR="00D43B2E" w:rsidRPr="00D04614" w:rsidRDefault="00D43B2E" w:rsidP="00D43B2E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Edited book: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No author</w:t>
            </w:r>
          </w:p>
          <w:p w14:paraId="1E0FF45F" w14:textId="657169F3" w:rsidR="00D43B2E" w:rsidRPr="00D04614" w:rsidRDefault="00D43B2E" w:rsidP="00D43B2E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17.1.1.2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903D" w14:textId="77777777" w:rsidR="00D43B2E" w:rsidRPr="00D04614" w:rsidRDefault="00D43B2E" w:rsidP="00040DD7">
            <w:pPr>
              <w:ind w:left="432" w:right="-313" w:hanging="45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>D’Agata, John, ed. </w:t>
            </w:r>
            <w:r w:rsidRPr="00D04614">
              <w:rPr>
                <w:rFonts w:ascii="Palatino Linotype" w:hAnsi="Palatino Linotype"/>
                <w:i/>
                <w:iCs/>
                <w:sz w:val="21"/>
                <w:szCs w:val="21"/>
              </w:rPr>
              <w:t>The Making of the American Essay. 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Minneapolis: Graywolf Press, 2016.</w:t>
            </w:r>
          </w:p>
        </w:tc>
      </w:tr>
      <w:tr w:rsidR="00040DD7" w:rsidRPr="00D04614" w14:paraId="1E55B0E8" w14:textId="77777777" w:rsidTr="00F46BCD">
        <w:trPr>
          <w:trHeight w:val="674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D8FD" w14:textId="77777777" w:rsidR="00D43B2E" w:rsidRPr="00D04614" w:rsidRDefault="00D43B2E" w:rsidP="00D43B2E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Chapter or other part of an</w:t>
            </w:r>
          </w:p>
          <w:p w14:paraId="64031D67" w14:textId="3D309910" w:rsidR="00D43B2E" w:rsidRPr="00D04614" w:rsidRDefault="00D43B2E" w:rsidP="00D43B2E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edited book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17.1.8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DACC" w14:textId="77777777" w:rsidR="00D43B2E" w:rsidRPr="00D04614" w:rsidRDefault="00D43B2E" w:rsidP="00D31543">
            <w:pPr>
              <w:ind w:left="432" w:right="-150" w:hanging="45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>Rowlandson, Mary. “The Narrative of My Captivity.” In </w:t>
            </w:r>
            <w:r w:rsidRPr="00D04614">
              <w:rPr>
                <w:rFonts w:ascii="Palatino Linotype" w:hAnsi="Palatino Linotype"/>
                <w:i/>
                <w:iCs/>
                <w:sz w:val="21"/>
                <w:szCs w:val="21"/>
              </w:rPr>
              <w:t>The Making of the American Essay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, edited by John D’Agata, 19–56. Minneapolis: Graywolf Press, 2016.</w:t>
            </w:r>
          </w:p>
        </w:tc>
      </w:tr>
      <w:tr w:rsidR="00040DD7" w:rsidRPr="00D04614" w14:paraId="26F36CA6" w14:textId="77777777" w:rsidTr="00F46BCD">
        <w:trPr>
          <w:trHeight w:val="566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43B" w14:textId="6C1D0CA1" w:rsidR="00D43B2E" w:rsidRPr="00D04614" w:rsidRDefault="00D43B2E" w:rsidP="00D43B2E">
            <w:pPr>
              <w:tabs>
                <w:tab w:val="left" w:pos="2633"/>
              </w:tabs>
              <w:ind w:right="-68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Multi-volume work: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Specific volume</w:t>
            </w: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17.1.4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E01" w14:textId="77777777" w:rsidR="00D43B2E" w:rsidRPr="00D04614" w:rsidRDefault="00D43B2E" w:rsidP="00DC68D3">
            <w:pPr>
              <w:ind w:left="432" w:right="-360" w:hanging="450"/>
              <w:rPr>
                <w:rFonts w:ascii="Palatino Linotype" w:hAnsi="Palatino Linotype"/>
                <w:sz w:val="21"/>
                <w:szCs w:val="21"/>
              </w:rPr>
            </w:pPr>
            <w:proofErr w:type="spellStart"/>
            <w:r w:rsidRPr="00D04614">
              <w:rPr>
                <w:rFonts w:ascii="Palatino Linotype" w:hAnsi="Palatino Linotype"/>
                <w:sz w:val="21"/>
                <w:szCs w:val="21"/>
              </w:rPr>
              <w:t>Naficy</w:t>
            </w:r>
            <w:proofErr w:type="spellEnd"/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, Hamid. </w:t>
            </w:r>
            <w:r w:rsidRPr="00D04614">
              <w:rPr>
                <w:rFonts w:ascii="Palatino Linotype" w:hAnsi="Palatino Linotype"/>
                <w:i/>
                <w:sz w:val="21"/>
                <w:szCs w:val="21"/>
              </w:rPr>
              <w:t>A Social History of Iranian Cinema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. Vol. 4, </w:t>
            </w:r>
            <w:r w:rsidRPr="00D04614">
              <w:rPr>
                <w:rFonts w:ascii="Palatino Linotype" w:hAnsi="Palatino Linotype"/>
                <w:i/>
                <w:sz w:val="21"/>
                <w:szCs w:val="21"/>
              </w:rPr>
              <w:t>The Globalizing Era, 1984-2010</w:t>
            </w:r>
            <w:proofErr w:type="gramStart"/>
            <w:r w:rsidRPr="00D04614">
              <w:rPr>
                <w:rFonts w:ascii="Palatino Linotype" w:hAnsi="Palatino Linotype"/>
                <w:i/>
                <w:sz w:val="21"/>
                <w:szCs w:val="21"/>
              </w:rPr>
              <w:t xml:space="preserve">.  </w:t>
            </w:r>
            <w:proofErr w:type="gramEnd"/>
            <w:r w:rsidRPr="00D04614">
              <w:rPr>
                <w:rFonts w:ascii="Palatino Linotype" w:hAnsi="Palatino Linotype"/>
                <w:sz w:val="21"/>
                <w:szCs w:val="21"/>
              </w:rPr>
              <w:t>Durham, NC: Duke University Press, 2012.</w:t>
            </w:r>
          </w:p>
        </w:tc>
      </w:tr>
      <w:tr w:rsidR="00040DD7" w:rsidRPr="00D04614" w14:paraId="778C35F1" w14:textId="77777777" w:rsidTr="00F46BCD">
        <w:trPr>
          <w:trHeight w:val="52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DF83" w14:textId="308E15E4" w:rsidR="00EA4E90" w:rsidRPr="00D04614" w:rsidRDefault="00EA4E90" w:rsidP="00DC68D3">
            <w:pPr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Journal article</w:t>
            </w:r>
            <w:r w:rsidR="000D37D6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  <w:r w:rsidR="00064CCB"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17.2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 xml:space="preserve">. If accessed online, </w:t>
            </w:r>
            <w:r w:rsidR="00E14B92">
              <w:rPr>
                <w:rFonts w:ascii="Palatino Linotype" w:hAnsi="Palatino Linotype"/>
                <w:sz w:val="21"/>
                <w:szCs w:val="21"/>
              </w:rPr>
              <w:t>include the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 xml:space="preserve"> </w:t>
            </w:r>
            <w:proofErr w:type="spellStart"/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doi</w:t>
            </w:r>
            <w:proofErr w:type="spellEnd"/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22B" w14:textId="74D2C5E8" w:rsidR="00EA4E90" w:rsidRPr="00D04614" w:rsidRDefault="00116EBB" w:rsidP="00064CCB">
            <w:pPr>
              <w:ind w:left="432" w:right="-60" w:hanging="45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 xml:space="preserve">Garber, Marjorie. “Over the Influence.” </w:t>
            </w:r>
            <w:r w:rsidRPr="00D04614">
              <w:rPr>
                <w:rFonts w:ascii="Palatino Linotype" w:hAnsi="Palatino Linotype" w:cs="Arial"/>
                <w:bCs/>
                <w:i/>
                <w:sz w:val="21"/>
                <w:szCs w:val="21"/>
              </w:rPr>
              <w:t>Critical Inquiry</w:t>
            </w: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 xml:space="preserve"> 42, no. 4 (Summer 2016): 735. https://doi.org/10.1086/686960.</w:t>
            </w:r>
          </w:p>
        </w:tc>
      </w:tr>
      <w:tr w:rsidR="00040DD7" w:rsidRPr="00D04614" w14:paraId="72ACFA9A" w14:textId="77777777" w:rsidTr="00F46BCD">
        <w:trPr>
          <w:trHeight w:val="113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2D4F" w14:textId="77777777" w:rsidR="00D43B2E" w:rsidRPr="00D04614" w:rsidRDefault="00D43B2E" w:rsidP="00D43B2E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Website content </w:t>
            </w:r>
          </w:p>
          <w:p w14:paraId="239FF23D" w14:textId="72162C1A" w:rsidR="00D43B2E" w:rsidRPr="00D04614" w:rsidRDefault="00D43B2E" w:rsidP="00D43B2E">
            <w:pPr>
              <w:tabs>
                <w:tab w:val="left" w:pos="2543"/>
              </w:tabs>
              <w:ind w:right="-85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>Include an access date if no date of publication, posting, or revision 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17.5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CD06" w14:textId="77777777" w:rsidR="00D43B2E" w:rsidRPr="00D04614" w:rsidRDefault="00D43B2E" w:rsidP="009E6DB3">
            <w:pPr>
              <w:ind w:left="453" w:right="-360" w:hanging="453"/>
              <w:rPr>
                <w:rFonts w:ascii="Palatino Linotype" w:hAnsi="Palatino Linotype" w:cs="Arial"/>
                <w:bCs/>
                <w:sz w:val="21"/>
                <w:szCs w:val="21"/>
              </w:rPr>
            </w:pP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Columbia University. “History.” Accessed May 15, 2017. http://www.columbia.edu/content/history.html.</w:t>
            </w:r>
          </w:p>
          <w:p w14:paraId="62C9CC3C" w14:textId="2E372433" w:rsidR="00D43B2E" w:rsidRPr="00D04614" w:rsidRDefault="00116EBB" w:rsidP="007D5F50">
            <w:pPr>
              <w:ind w:left="453" w:right="-360" w:hanging="453"/>
              <w:rPr>
                <w:rFonts w:ascii="Palatino Linotype" w:hAnsi="Palatino Linotype" w:cs="Arial"/>
                <w:bCs/>
                <w:sz w:val="21"/>
                <w:szCs w:val="21"/>
              </w:rPr>
            </w:pP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Mitchell, Anna. “Taylor Film Students Place First in 2024 Broadcast Education Association.” Taylor University. May 15, 2024. https://www.taylor.edu/news/</w:t>
            </w:r>
          </w:p>
        </w:tc>
      </w:tr>
      <w:tr w:rsidR="00040DD7" w:rsidRPr="00D04614" w14:paraId="57FA5896" w14:textId="77777777" w:rsidTr="00F46BCD">
        <w:trPr>
          <w:trHeight w:val="34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9DB" w14:textId="7A760BB9" w:rsidR="00D31543" w:rsidRPr="00D04614" w:rsidRDefault="00D31543" w:rsidP="00D31543">
            <w:pPr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Blog</w:t>
            </w:r>
            <w:r w:rsidR="000D37D6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17.5.2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A6C4" w14:textId="77936AA9" w:rsidR="00D31543" w:rsidRPr="00D04614" w:rsidRDefault="00D31543" w:rsidP="0002360E">
            <w:pPr>
              <w:ind w:left="446" w:hanging="446"/>
              <w:rPr>
                <w:rFonts w:ascii="Palatino Linotype" w:hAnsi="Palatino Linotype" w:cs="Arial"/>
                <w:bCs/>
                <w:sz w:val="21"/>
                <w:szCs w:val="21"/>
              </w:rPr>
            </w:pP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Citing a blog in a bibliography is usually unnecessary.</w:t>
            </w:r>
          </w:p>
        </w:tc>
      </w:tr>
      <w:tr w:rsidR="00040DD7" w:rsidRPr="00D04614" w14:paraId="08470433" w14:textId="77777777" w:rsidTr="00F46BCD">
        <w:trPr>
          <w:trHeight w:val="106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2DA" w14:textId="779031BC" w:rsidR="00A43040" w:rsidRPr="00D04614" w:rsidRDefault="00A43040" w:rsidP="00DC68D3">
            <w:pPr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Electronic book</w:t>
            </w:r>
            <w:r w:rsidR="000D37D6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17.1.10</w:t>
            </w:r>
            <w:r w:rsidR="000D37D6"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3F4D" w14:textId="77777777" w:rsidR="00B93A74" w:rsidRPr="00D04614" w:rsidRDefault="00B93A74" w:rsidP="00B93A74">
            <w:pPr>
              <w:ind w:left="453" w:right="-360" w:hanging="453"/>
              <w:rPr>
                <w:rFonts w:ascii="Palatino Linotype" w:hAnsi="Palatino Linotype" w:cs="Arial"/>
                <w:bCs/>
                <w:sz w:val="21"/>
                <w:szCs w:val="21"/>
              </w:rPr>
            </w:pP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Austen, Jane. </w:t>
            </w:r>
            <w:r w:rsidRPr="00D04614">
              <w:rPr>
                <w:rFonts w:ascii="Palatino Linotype" w:hAnsi="Palatino Linotype" w:cs="Arial"/>
                <w:bCs/>
                <w:i/>
                <w:iCs/>
                <w:sz w:val="21"/>
                <w:szCs w:val="21"/>
              </w:rPr>
              <w:t>Pride and Prejudice</w:t>
            </w: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. New York: Penguin Classics, 2007. Kindle.</w:t>
            </w:r>
          </w:p>
          <w:p w14:paraId="218862E7" w14:textId="77777777" w:rsidR="00A43040" w:rsidRPr="00D04614" w:rsidRDefault="00B93A74" w:rsidP="00050780">
            <w:pPr>
              <w:ind w:left="453" w:right="-116" w:hanging="453"/>
              <w:rPr>
                <w:rFonts w:ascii="Palatino Linotype" w:hAnsi="Palatino Linotype" w:cs="Arial"/>
                <w:bCs/>
                <w:sz w:val="21"/>
                <w:szCs w:val="21"/>
              </w:rPr>
            </w:pP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Dostoevsky, Fyodor. </w:t>
            </w:r>
            <w:r w:rsidRPr="00D04614">
              <w:rPr>
                <w:rFonts w:ascii="Palatino Linotype" w:hAnsi="Palatino Linotype" w:cs="Arial"/>
                <w:bCs/>
                <w:i/>
                <w:iCs/>
                <w:sz w:val="21"/>
                <w:szCs w:val="21"/>
              </w:rPr>
              <w:t>Crime and Punishment</w:t>
            </w: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. Tr</w:t>
            </w:r>
            <w:r w:rsidR="00501C30"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anslated by Constance Garnett. E</w:t>
            </w: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dited by William Allan Neilson. New York: P. F. Collier &amp; Son, 1917. https://archive.org/details/crimepunishment00dostuoft.</w:t>
            </w:r>
          </w:p>
        </w:tc>
      </w:tr>
      <w:tr w:rsidR="00040DD7" w:rsidRPr="00D04614" w14:paraId="5BC08FB0" w14:textId="77777777" w:rsidTr="00F46BCD">
        <w:trPr>
          <w:trHeight w:val="57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88F" w14:textId="77777777" w:rsidR="00D43B2E" w:rsidRPr="00D04614" w:rsidRDefault="00D43B2E" w:rsidP="00D43B2E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Commentaries: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 xml:space="preserve">Single </w:t>
            </w:r>
          </w:p>
          <w:p w14:paraId="5FB2D9FC" w14:textId="77777777" w:rsidR="00D43B2E" w:rsidRPr="00D04614" w:rsidRDefault="00D43B2E" w:rsidP="00D43B2E">
            <w:pPr>
              <w:tabs>
                <w:tab w:val="left" w:pos="2633"/>
              </w:tabs>
              <w:ind w:right="-360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>author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6FB0" w14:textId="77777777" w:rsidR="00D43B2E" w:rsidRPr="00D04614" w:rsidRDefault="00D43B2E" w:rsidP="00514EBC">
            <w:pPr>
              <w:ind w:left="446" w:hanging="446"/>
              <w:rPr>
                <w:rFonts w:ascii="Palatino Linotype" w:hAnsi="Palatino Linotype" w:cs="Arial"/>
                <w:bCs/>
                <w:sz w:val="21"/>
                <w:szCs w:val="21"/>
              </w:rPr>
            </w:pP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 xml:space="preserve">Blomberg, Craig L. </w:t>
            </w:r>
            <w:r w:rsidRPr="00D04614">
              <w:rPr>
                <w:rFonts w:ascii="Palatino Linotype" w:hAnsi="Palatino Linotype" w:cs="Arial"/>
                <w:bCs/>
                <w:i/>
                <w:iCs/>
                <w:sz w:val="21"/>
                <w:szCs w:val="21"/>
              </w:rPr>
              <w:t>Matthew</w:t>
            </w:r>
            <w:r w:rsidRPr="00D04614">
              <w:rPr>
                <w:rFonts w:ascii="Palatino Linotype" w:hAnsi="Palatino Linotype" w:cs="Arial"/>
                <w:bCs/>
                <w:sz w:val="21"/>
                <w:szCs w:val="21"/>
              </w:rPr>
              <w:t>. Nashville: Broadman, 1992.</w:t>
            </w:r>
          </w:p>
          <w:p w14:paraId="1406964C" w14:textId="77777777" w:rsidR="00D43B2E" w:rsidRPr="00D04614" w:rsidRDefault="00D43B2E" w:rsidP="00514EBC">
            <w:pPr>
              <w:ind w:left="446" w:hanging="446"/>
              <w:rPr>
                <w:rFonts w:ascii="Palatino Linotype" w:hAnsi="Palatino Linotype" w:cs="Arial"/>
                <w:bCs/>
                <w:sz w:val="21"/>
                <w:szCs w:val="21"/>
              </w:rPr>
            </w:pPr>
          </w:p>
        </w:tc>
      </w:tr>
      <w:tr w:rsidR="00040DD7" w:rsidRPr="00D04614" w14:paraId="1114C66F" w14:textId="77777777" w:rsidTr="00F46BCD">
        <w:trPr>
          <w:trHeight w:val="854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47FB" w14:textId="77777777" w:rsidR="00D43B2E" w:rsidRPr="00D04614" w:rsidRDefault="00D43B2E" w:rsidP="00D43B2E">
            <w:pPr>
              <w:tabs>
                <w:tab w:val="left" w:pos="2550"/>
              </w:tabs>
              <w:ind w:right="-238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Commentaries: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Specific author among a multi-author volume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105" w14:textId="6D6FD226" w:rsidR="00D43B2E" w:rsidRPr="00D04614" w:rsidRDefault="00BE0C44" w:rsidP="00237B53">
            <w:pPr>
              <w:ind w:left="401" w:hanging="401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>Klein, William W.</w:t>
            </w:r>
            <w:r w:rsidR="00D43B2E" w:rsidRPr="00D04614">
              <w:rPr>
                <w:rFonts w:ascii="Palatino Linotype" w:hAnsi="Palatino Linotype"/>
                <w:sz w:val="21"/>
                <w:szCs w:val="21"/>
              </w:rPr>
              <w:t xml:space="preserve"> “Ephesians.” In </w:t>
            </w:r>
            <w:r w:rsidR="00D43B2E" w:rsidRPr="00D04614">
              <w:rPr>
                <w:rFonts w:ascii="Palatino Linotype" w:hAnsi="Palatino Linotype"/>
                <w:i/>
                <w:iCs/>
                <w:sz w:val="21"/>
                <w:szCs w:val="21"/>
              </w:rPr>
              <w:t>Expositor’s Bible Commentary: Revised Edition</w:t>
            </w:r>
            <w:r w:rsidR="0055014F" w:rsidRPr="00D04614">
              <w:rPr>
                <w:rFonts w:ascii="Palatino Linotype" w:hAnsi="Palatino Linotype"/>
                <w:sz w:val="21"/>
                <w:szCs w:val="21"/>
              </w:rPr>
              <w:t>, ed.</w:t>
            </w:r>
            <w:r w:rsidR="00D43B2E" w:rsidRPr="00D04614">
              <w:rPr>
                <w:rFonts w:ascii="Palatino Linotype" w:hAnsi="Palatino Linotype"/>
                <w:sz w:val="21"/>
                <w:szCs w:val="21"/>
              </w:rPr>
              <w:t xml:space="preserve"> David E. Garland and Tremper Longman III, vol. 12, 19-173. Grand Rapids: Zondervan, 2006.</w:t>
            </w:r>
          </w:p>
        </w:tc>
      </w:tr>
      <w:tr w:rsidR="00040DD7" w:rsidRPr="00D04614" w14:paraId="3006CDAE" w14:textId="77777777" w:rsidTr="00F46BCD">
        <w:trPr>
          <w:trHeight w:val="63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C2B0" w14:textId="77777777" w:rsidR="00C875E2" w:rsidRPr="00D04614" w:rsidRDefault="0002360E" w:rsidP="0002360E">
            <w:pPr>
              <w:ind w:right="-148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Bible: </w:t>
            </w:r>
            <w:r w:rsidRPr="00D04614">
              <w:rPr>
                <w:rFonts w:ascii="Palatino Linotype" w:hAnsi="Palatino Linotype"/>
                <w:bCs/>
                <w:sz w:val="21"/>
                <w:szCs w:val="21"/>
              </w:rPr>
              <w:t>R</w:t>
            </w:r>
            <w:r w:rsidR="00C875E2" w:rsidRPr="00D04614">
              <w:rPr>
                <w:rFonts w:ascii="Palatino Linotype" w:hAnsi="Palatino Linotype"/>
                <w:bCs/>
                <w:sz w:val="21"/>
                <w:szCs w:val="21"/>
              </w:rPr>
              <w:t>eference material</w:t>
            </w:r>
            <w:r w:rsidR="00C875E2"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 </w:t>
            </w:r>
          </w:p>
          <w:p w14:paraId="5EDBAF47" w14:textId="77777777" w:rsidR="00ED53B6" w:rsidRPr="00D04614" w:rsidRDefault="00ED53B6" w:rsidP="0002360E">
            <w:pPr>
              <w:ind w:right="-148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32BA" w14:textId="37259C04" w:rsidR="00C875E2" w:rsidRPr="00D04614" w:rsidRDefault="0002360E" w:rsidP="0002360E">
            <w:pPr>
              <w:ind w:right="-60" w:hanging="18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>Study notes, footnotes, etc., are treated as</w:t>
            </w:r>
            <w:r w:rsidR="00D43B2E" w:rsidRPr="00D04614">
              <w:rPr>
                <w:rFonts w:ascii="Palatino Linotype" w:hAnsi="Palatino Linotype"/>
                <w:sz w:val="21"/>
                <w:szCs w:val="21"/>
              </w:rPr>
              <w:t xml:space="preserve"> part of an edited collection. 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For the bibliography,</w:t>
            </w:r>
            <w:r w:rsidR="00C875E2" w:rsidRPr="00D04614">
              <w:rPr>
                <w:rFonts w:ascii="Palatino Linotype" w:hAnsi="Palatino Linotype"/>
                <w:sz w:val="21"/>
                <w:szCs w:val="21"/>
              </w:rPr>
              <w:t xml:space="preserve"> if multiple parts are referenced (e.g., several study notes), then just list the regular reference information</w:t>
            </w:r>
            <w:r w:rsidR="00F27AC4" w:rsidRPr="00D04614">
              <w:rPr>
                <w:rFonts w:ascii="Palatino Linotype" w:hAnsi="Palatino Linotype"/>
                <w:sz w:val="21"/>
                <w:szCs w:val="21"/>
              </w:rPr>
              <w:t xml:space="preserve">. </w:t>
            </w:r>
            <w:r w:rsidR="00C875E2" w:rsidRPr="00D04614">
              <w:rPr>
                <w:rFonts w:ascii="Palatino Linotype" w:hAnsi="Palatino Linotype"/>
                <w:sz w:val="21"/>
                <w:szCs w:val="21"/>
              </w:rPr>
              <w:t>If just once, treat the book as part of an edited collection</w:t>
            </w:r>
            <w:r w:rsidR="00A95D9C" w:rsidRPr="00D04614">
              <w:rPr>
                <w:rFonts w:ascii="Palatino Linotype" w:hAnsi="Palatino Linotype"/>
                <w:sz w:val="21"/>
                <w:szCs w:val="21"/>
              </w:rPr>
              <w:t xml:space="preserve"> (</w:t>
            </w:r>
            <w:r w:rsidR="00D04614" w:rsidRPr="00D04614">
              <w:rPr>
                <w:rFonts w:ascii="Palatino Linotype" w:hAnsi="Palatino Linotype"/>
                <w:sz w:val="21"/>
                <w:szCs w:val="21"/>
              </w:rPr>
              <w:t>17.1.8.2</w:t>
            </w:r>
            <w:r w:rsidR="00ED53B6"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  <w:r w:rsidR="00C875E2" w:rsidRPr="00D04614">
              <w:rPr>
                <w:rFonts w:ascii="Palatino Linotype" w:hAnsi="Palatino Linotype"/>
                <w:sz w:val="21"/>
                <w:szCs w:val="21"/>
              </w:rPr>
              <w:t>.</w:t>
            </w:r>
          </w:p>
        </w:tc>
      </w:tr>
      <w:tr w:rsidR="00040DD7" w:rsidRPr="00D04614" w14:paraId="4711D9D9" w14:textId="77777777" w:rsidTr="00F46BCD">
        <w:trPr>
          <w:trHeight w:val="4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A53" w14:textId="77777777" w:rsidR="00C875E2" w:rsidRPr="00D04614" w:rsidRDefault="00C875E2" w:rsidP="00DA3F32">
            <w:pPr>
              <w:ind w:right="-148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Class lecture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B05" w14:textId="7F616C27" w:rsidR="00C875E2" w:rsidRPr="00D04614" w:rsidRDefault="008A6C94" w:rsidP="00F02745">
            <w:pPr>
              <w:ind w:left="472" w:right="-60" w:hanging="490"/>
              <w:rPr>
                <w:rFonts w:ascii="Palatino Linotype" w:hAnsi="Palatino Linotype"/>
                <w:sz w:val="21"/>
                <w:szCs w:val="21"/>
              </w:rPr>
            </w:pPr>
            <w:proofErr w:type="spellStart"/>
            <w:r w:rsidRPr="00D04614">
              <w:rPr>
                <w:rFonts w:ascii="Palatino Linotype" w:hAnsi="Palatino Linotype"/>
                <w:sz w:val="21"/>
                <w:szCs w:val="21"/>
              </w:rPr>
              <w:t>Buschart</w:t>
            </w:r>
            <w:proofErr w:type="spellEnd"/>
            <w:r w:rsidRPr="00D04614">
              <w:rPr>
                <w:rFonts w:ascii="Palatino Linotype" w:hAnsi="Palatino Linotype"/>
                <w:sz w:val="21"/>
                <w:szCs w:val="21"/>
              </w:rPr>
              <w:t>, David. “Title of Lecture.” Lecture, Denver Seminary, Littleton, CO, Month X, 20</w:t>
            </w:r>
            <w:r w:rsidR="00BF5CD5">
              <w:rPr>
                <w:rFonts w:ascii="Palatino Linotype" w:hAnsi="Palatino Linotype"/>
                <w:sz w:val="21"/>
                <w:szCs w:val="21"/>
              </w:rPr>
              <w:t>24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.</w:t>
            </w:r>
          </w:p>
        </w:tc>
      </w:tr>
      <w:tr w:rsidR="00040DD7" w:rsidRPr="00D04614" w14:paraId="6F04F8B9" w14:textId="77777777" w:rsidTr="00F46BCD">
        <w:trPr>
          <w:trHeight w:val="4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D91" w14:textId="77777777" w:rsidR="00C875E2" w:rsidRPr="00D04614" w:rsidRDefault="00C875E2" w:rsidP="00514EBC">
            <w:pPr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>Personal communication</w:t>
            </w:r>
          </w:p>
          <w:p w14:paraId="19498E16" w14:textId="71C478F6" w:rsidR="000D37D6" w:rsidRPr="00D04614" w:rsidRDefault="000D37D6" w:rsidP="00514EBC">
            <w:pPr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>(</w:t>
            </w:r>
            <w:r w:rsidR="00116EBB" w:rsidRPr="00D04614">
              <w:rPr>
                <w:rFonts w:ascii="Palatino Linotype" w:hAnsi="Palatino Linotype"/>
                <w:sz w:val="21"/>
                <w:szCs w:val="21"/>
              </w:rPr>
              <w:t>17.6</w:t>
            </w:r>
            <w:r w:rsidRPr="00D04614">
              <w:rPr>
                <w:rFonts w:ascii="Palatino Linotype" w:hAnsi="Palatino Linotype"/>
                <w:sz w:val="21"/>
                <w:szCs w:val="21"/>
              </w:rPr>
              <w:t>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B47D" w14:textId="77777777" w:rsidR="00C875E2" w:rsidRPr="00D04614" w:rsidRDefault="00C875E2" w:rsidP="00621D04">
            <w:pPr>
              <w:ind w:right="-60" w:hanging="18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>Interviews, correspondence, and other types of personal communications (email, text messages, and messages sent through social media) are usually cited in the text or in a note only; they are rarely included in a bibliography.</w:t>
            </w:r>
          </w:p>
        </w:tc>
      </w:tr>
      <w:tr w:rsidR="00D04614" w:rsidRPr="00D04614" w14:paraId="3B8595CC" w14:textId="77777777" w:rsidTr="00F46BCD">
        <w:trPr>
          <w:trHeight w:val="4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378" w14:textId="63198C53" w:rsidR="00D04614" w:rsidRPr="00D04614" w:rsidRDefault="00D04614" w:rsidP="00514EBC">
            <w:pPr>
              <w:ind w:right="-360"/>
              <w:rPr>
                <w:rFonts w:ascii="Palatino Linotype" w:hAnsi="Palatino Linotype"/>
                <w:b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b/>
                <w:sz w:val="21"/>
                <w:szCs w:val="21"/>
              </w:rPr>
              <w:t xml:space="preserve">Theses and dissertations </w:t>
            </w:r>
            <w:r>
              <w:rPr>
                <w:rFonts w:ascii="Palatino Linotype" w:hAnsi="Palatino Linotype"/>
                <w:b/>
                <w:sz w:val="21"/>
                <w:szCs w:val="21"/>
              </w:rPr>
              <w:t xml:space="preserve">     </w:t>
            </w:r>
            <w:r w:rsidRPr="00D04614">
              <w:rPr>
                <w:rFonts w:ascii="Palatino Linotype" w:hAnsi="Palatino Linotype"/>
                <w:bCs/>
                <w:sz w:val="21"/>
                <w:szCs w:val="21"/>
              </w:rPr>
              <w:t>(17.7.1)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D44" w14:textId="5A12C06A" w:rsidR="00D04614" w:rsidRPr="00D04614" w:rsidRDefault="00D04614" w:rsidP="00D04614">
            <w:pPr>
              <w:ind w:left="429" w:right="-60" w:hanging="447"/>
              <w:rPr>
                <w:rFonts w:ascii="Palatino Linotype" w:hAnsi="Palatino Linotype"/>
                <w:sz w:val="21"/>
                <w:szCs w:val="21"/>
              </w:rPr>
            </w:pPr>
            <w:r w:rsidRPr="00D04614">
              <w:rPr>
                <w:rFonts w:ascii="Palatino Linotype" w:hAnsi="Palatino Linotype"/>
                <w:sz w:val="21"/>
                <w:szCs w:val="21"/>
              </w:rPr>
              <w:t>Culcasi, Karen Leigh. “Cartographic Representations of Kurdistan in the Print Media.” PhD diss., Syracuse University, 2003. ProQuest Dissertations &amp; Theses Global.</w:t>
            </w:r>
          </w:p>
        </w:tc>
      </w:tr>
    </w:tbl>
    <w:p w14:paraId="56F39CAD" w14:textId="77777777" w:rsidR="00D04614" w:rsidRDefault="00D04614" w:rsidP="00D04614">
      <w:pPr>
        <w:jc w:val="right"/>
        <w:rPr>
          <w:rFonts w:ascii="Palatino Linotype" w:hAnsi="Palatino Linotype"/>
          <w:i/>
          <w:sz w:val="20"/>
          <w:szCs w:val="20"/>
        </w:rPr>
      </w:pPr>
    </w:p>
    <w:p w14:paraId="40E10FC5" w14:textId="4F39C4D6" w:rsidR="00D04614" w:rsidRDefault="00F46BCD" w:rsidP="00D04614">
      <w:pPr>
        <w:jc w:val="right"/>
        <w:rPr>
          <w:rFonts w:ascii="Palatino Linotype" w:hAnsi="Palatino Linotype"/>
          <w:i/>
          <w:sz w:val="20"/>
          <w:szCs w:val="20"/>
        </w:rPr>
      </w:pPr>
      <w:r>
        <w:rPr>
          <w:i/>
          <w:noProof/>
          <w:color w:val="595959" w:themeColor="text1" w:themeTint="A6"/>
          <w:sz w:val="15"/>
          <w:szCs w:val="15"/>
        </w:rPr>
        <w:drawing>
          <wp:anchor distT="0" distB="0" distL="114300" distR="114300" simplePos="0" relativeHeight="251659264" behindDoc="0" locked="0" layoutInCell="1" allowOverlap="1" wp14:anchorId="1B3B416E" wp14:editId="41B9292C">
            <wp:simplePos x="0" y="0"/>
            <wp:positionH relativeFrom="margin">
              <wp:posOffset>6423282</wp:posOffset>
            </wp:positionH>
            <wp:positionV relativeFrom="margin">
              <wp:posOffset>8508989</wp:posOffset>
            </wp:positionV>
            <wp:extent cx="553720" cy="553720"/>
            <wp:effectExtent l="0" t="0" r="508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CMen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499C7" w14:textId="20C5617D" w:rsidR="00D04614" w:rsidRDefault="00D04614" w:rsidP="00D04614">
      <w:pPr>
        <w:jc w:val="right"/>
        <w:rPr>
          <w:rFonts w:ascii="Palatino Linotype" w:hAnsi="Palatino Linotype"/>
          <w:i/>
          <w:sz w:val="20"/>
          <w:szCs w:val="20"/>
        </w:rPr>
      </w:pPr>
    </w:p>
    <w:p w14:paraId="3CACC84D" w14:textId="3FAE09A8" w:rsidR="00A15188" w:rsidRPr="00877D50" w:rsidRDefault="00D04614" w:rsidP="00856A04">
      <w:pPr>
        <w:jc w:val="right"/>
        <w:rPr>
          <w:rFonts w:ascii="Palatino Linotype" w:hAnsi="Palatino Linotype"/>
          <w:sz w:val="22"/>
          <w:szCs w:val="22"/>
        </w:rPr>
      </w:pPr>
      <w:r w:rsidRPr="00622FC0">
        <w:rPr>
          <w:rFonts w:ascii="Palatino Linotype" w:hAnsi="Palatino Linotype"/>
          <w:i/>
          <w:sz w:val="20"/>
          <w:szCs w:val="20"/>
        </w:rPr>
        <w:t>© 202</w:t>
      </w:r>
      <w:r w:rsidR="00545092">
        <w:rPr>
          <w:rFonts w:ascii="Palatino Linotype" w:hAnsi="Palatino Linotype"/>
          <w:i/>
          <w:sz w:val="20"/>
          <w:szCs w:val="20"/>
        </w:rPr>
        <w:t>5</w:t>
      </w:r>
      <w:r w:rsidRPr="00622FC0">
        <w:rPr>
          <w:rFonts w:ascii="Palatino Linotype" w:hAnsi="Palatino Linotype"/>
          <w:i/>
          <w:sz w:val="20"/>
          <w:szCs w:val="20"/>
        </w:rPr>
        <w:t xml:space="preserve"> – </w:t>
      </w:r>
      <w:r>
        <w:rPr>
          <w:rFonts w:ascii="Palatino Linotype" w:hAnsi="Palatino Linotype"/>
          <w:i/>
          <w:sz w:val="20"/>
          <w:szCs w:val="20"/>
        </w:rPr>
        <w:t>Denver Seminary Writing Center</w:t>
      </w:r>
    </w:p>
    <w:sectPr w:rsidR="00A15188" w:rsidRPr="00877D50" w:rsidSect="0036734E">
      <w:pgSz w:w="12240" w:h="1584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5CF7" w14:textId="77777777" w:rsidR="00FA41EE" w:rsidRDefault="00FA41EE" w:rsidP="00FA41EE">
      <w:r>
        <w:separator/>
      </w:r>
    </w:p>
  </w:endnote>
  <w:endnote w:type="continuationSeparator" w:id="0">
    <w:p w14:paraId="3FDB7B32" w14:textId="77777777" w:rsidR="00FA41EE" w:rsidRDefault="00FA41EE" w:rsidP="00FA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60E5" w14:textId="77777777" w:rsidR="00FA41EE" w:rsidRDefault="00FA41EE" w:rsidP="00FA41EE">
      <w:r>
        <w:separator/>
      </w:r>
    </w:p>
  </w:footnote>
  <w:footnote w:type="continuationSeparator" w:id="0">
    <w:p w14:paraId="767E7374" w14:textId="77777777" w:rsidR="00FA41EE" w:rsidRDefault="00FA41EE" w:rsidP="00FA4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A455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8350A"/>
    <w:multiLevelType w:val="hybridMultilevel"/>
    <w:tmpl w:val="AB4E6C68"/>
    <w:lvl w:ilvl="0" w:tplc="596620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0553506">
    <w:abstractNumId w:val="0"/>
  </w:num>
  <w:num w:numId="2" w16cid:durableId="36051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90"/>
    <w:rsid w:val="0002360E"/>
    <w:rsid w:val="00040DD7"/>
    <w:rsid w:val="00050780"/>
    <w:rsid w:val="000564B0"/>
    <w:rsid w:val="00064CCB"/>
    <w:rsid w:val="000C1A64"/>
    <w:rsid w:val="000C3F19"/>
    <w:rsid w:val="000D37D6"/>
    <w:rsid w:val="00116EBB"/>
    <w:rsid w:val="00135F3C"/>
    <w:rsid w:val="001A3D7D"/>
    <w:rsid w:val="001C18CC"/>
    <w:rsid w:val="002144A9"/>
    <w:rsid w:val="00214FD6"/>
    <w:rsid w:val="002159BD"/>
    <w:rsid w:val="00220F88"/>
    <w:rsid w:val="00237B53"/>
    <w:rsid w:val="00246765"/>
    <w:rsid w:val="003172D1"/>
    <w:rsid w:val="0036734E"/>
    <w:rsid w:val="003724A1"/>
    <w:rsid w:val="003772E9"/>
    <w:rsid w:val="00377A53"/>
    <w:rsid w:val="00383814"/>
    <w:rsid w:val="003B7B9D"/>
    <w:rsid w:val="003C48FB"/>
    <w:rsid w:val="004777F2"/>
    <w:rsid w:val="00495387"/>
    <w:rsid w:val="00500F9C"/>
    <w:rsid w:val="00501C30"/>
    <w:rsid w:val="00514EBC"/>
    <w:rsid w:val="00545092"/>
    <w:rsid w:val="0055014F"/>
    <w:rsid w:val="005F1170"/>
    <w:rsid w:val="00604CE4"/>
    <w:rsid w:val="00621D04"/>
    <w:rsid w:val="00625854"/>
    <w:rsid w:val="006339DF"/>
    <w:rsid w:val="006409DB"/>
    <w:rsid w:val="006467C2"/>
    <w:rsid w:val="006543AA"/>
    <w:rsid w:val="00661351"/>
    <w:rsid w:val="006B69EF"/>
    <w:rsid w:val="007178D0"/>
    <w:rsid w:val="0072355E"/>
    <w:rsid w:val="00787694"/>
    <w:rsid w:val="007B0054"/>
    <w:rsid w:val="007C1A9A"/>
    <w:rsid w:val="007C3F9A"/>
    <w:rsid w:val="007C793F"/>
    <w:rsid w:val="007D5F50"/>
    <w:rsid w:val="00803DA6"/>
    <w:rsid w:val="008118DB"/>
    <w:rsid w:val="00856A04"/>
    <w:rsid w:val="00873FD8"/>
    <w:rsid w:val="00877D50"/>
    <w:rsid w:val="00893514"/>
    <w:rsid w:val="008A6C94"/>
    <w:rsid w:val="008B3A95"/>
    <w:rsid w:val="00936CEC"/>
    <w:rsid w:val="00937198"/>
    <w:rsid w:val="009B0C61"/>
    <w:rsid w:val="009B742C"/>
    <w:rsid w:val="009C3CCF"/>
    <w:rsid w:val="009D4EB8"/>
    <w:rsid w:val="009E0EB8"/>
    <w:rsid w:val="009E132A"/>
    <w:rsid w:val="009E2DAA"/>
    <w:rsid w:val="009E6DB3"/>
    <w:rsid w:val="009F7317"/>
    <w:rsid w:val="00A040E3"/>
    <w:rsid w:val="00A15188"/>
    <w:rsid w:val="00A15CD3"/>
    <w:rsid w:val="00A32304"/>
    <w:rsid w:val="00A360AC"/>
    <w:rsid w:val="00A43040"/>
    <w:rsid w:val="00A95D9C"/>
    <w:rsid w:val="00A96BB4"/>
    <w:rsid w:val="00AA4799"/>
    <w:rsid w:val="00AA64A4"/>
    <w:rsid w:val="00AB4C77"/>
    <w:rsid w:val="00AF238D"/>
    <w:rsid w:val="00AF60FF"/>
    <w:rsid w:val="00B93A74"/>
    <w:rsid w:val="00BE0C44"/>
    <w:rsid w:val="00BF4334"/>
    <w:rsid w:val="00BF5CD5"/>
    <w:rsid w:val="00C0443F"/>
    <w:rsid w:val="00C05403"/>
    <w:rsid w:val="00C15392"/>
    <w:rsid w:val="00C204E7"/>
    <w:rsid w:val="00C875E2"/>
    <w:rsid w:val="00C92C8B"/>
    <w:rsid w:val="00CC413F"/>
    <w:rsid w:val="00CD3DB4"/>
    <w:rsid w:val="00CE43F6"/>
    <w:rsid w:val="00CF1A8E"/>
    <w:rsid w:val="00D04614"/>
    <w:rsid w:val="00D31543"/>
    <w:rsid w:val="00D43B2E"/>
    <w:rsid w:val="00D46CCF"/>
    <w:rsid w:val="00D63A63"/>
    <w:rsid w:val="00DA3F32"/>
    <w:rsid w:val="00DC68D3"/>
    <w:rsid w:val="00E14B92"/>
    <w:rsid w:val="00E21206"/>
    <w:rsid w:val="00E26A98"/>
    <w:rsid w:val="00E3261E"/>
    <w:rsid w:val="00E357BB"/>
    <w:rsid w:val="00EA4E90"/>
    <w:rsid w:val="00EC634F"/>
    <w:rsid w:val="00ED53B6"/>
    <w:rsid w:val="00F02745"/>
    <w:rsid w:val="00F07DA0"/>
    <w:rsid w:val="00F26CE1"/>
    <w:rsid w:val="00F27AC4"/>
    <w:rsid w:val="00F37A20"/>
    <w:rsid w:val="00F46BCD"/>
    <w:rsid w:val="00F57AAC"/>
    <w:rsid w:val="00F804F1"/>
    <w:rsid w:val="00FA41EE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2311C"/>
  <w14:defaultImageDpi w14:val="300"/>
  <w15:docId w15:val="{EBDEE553-5F6B-EC4C-9ECC-C82CC800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E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4E90"/>
    <w:rPr>
      <w:color w:val="0000FF"/>
      <w:u w:val="single"/>
    </w:rPr>
  </w:style>
  <w:style w:type="table" w:styleId="TableGrid">
    <w:name w:val="Table Grid"/>
    <w:basedOn w:val="TableNormal"/>
    <w:rsid w:val="00EA4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43040"/>
    <w:pPr>
      <w:spacing w:before="100" w:beforeAutospacing="1" w:after="100" w:afterAutospacing="1"/>
    </w:pPr>
  </w:style>
  <w:style w:type="character" w:styleId="FollowedHyperlink">
    <w:name w:val="FollowedHyperlink"/>
    <w:rsid w:val="006B69EF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FA41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41E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A4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41E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6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99869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111111"/>
            <w:bottom w:val="none" w:sz="0" w:space="0" w:color="auto"/>
            <w:right w:val="single" w:sz="2" w:space="0" w:color="111111"/>
          </w:divBdr>
          <w:divsChild>
            <w:div w:id="2011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8079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111111"/>
            <w:bottom w:val="none" w:sz="0" w:space="0" w:color="auto"/>
            <w:right w:val="single" w:sz="2" w:space="0" w:color="111111"/>
          </w:divBdr>
          <w:divsChild>
            <w:div w:id="11147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516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111111"/>
            <w:bottom w:val="none" w:sz="0" w:space="0" w:color="auto"/>
            <w:right w:val="single" w:sz="2" w:space="0" w:color="111111"/>
          </w:divBdr>
          <w:divsChild>
            <w:div w:id="4019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044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111111"/>
            <w:bottom w:val="none" w:sz="0" w:space="0" w:color="auto"/>
            <w:right w:val="single" w:sz="2" w:space="0" w:color="111111"/>
          </w:divBdr>
          <w:divsChild>
            <w:div w:id="14260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6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111111"/>
            <w:bottom w:val="none" w:sz="0" w:space="0" w:color="auto"/>
            <w:right w:val="single" w:sz="2" w:space="0" w:color="111111"/>
          </w:divBdr>
          <w:divsChild>
            <w:div w:id="20605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252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111111"/>
            <w:bottom w:val="none" w:sz="0" w:space="0" w:color="auto"/>
            <w:right w:val="single" w:sz="2" w:space="0" w:color="111111"/>
          </w:divBdr>
          <w:divsChild>
            <w:div w:id="1895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8433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111111"/>
            <w:bottom w:val="none" w:sz="0" w:space="0" w:color="auto"/>
            <w:right w:val="single" w:sz="2" w:space="0" w:color="111111"/>
          </w:divBdr>
          <w:divsChild>
            <w:div w:id="848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15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111111"/>
            <w:bottom w:val="none" w:sz="0" w:space="0" w:color="auto"/>
            <w:right w:val="single" w:sz="2" w:space="0" w:color="111111"/>
          </w:divBdr>
          <w:divsChild>
            <w:div w:id="9390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577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111111"/>
            <w:bottom w:val="none" w:sz="0" w:space="0" w:color="auto"/>
            <w:right w:val="single" w:sz="2" w:space="0" w:color="111111"/>
          </w:divBdr>
          <w:divsChild>
            <w:div w:id="16993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3843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111111"/>
            <w:bottom w:val="none" w:sz="0" w:space="0" w:color="auto"/>
            <w:right w:val="single" w:sz="2" w:space="0" w:color="111111"/>
          </w:divBdr>
          <w:divsChild>
            <w:div w:id="9944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0490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111111"/>
            <w:bottom w:val="none" w:sz="0" w:space="0" w:color="auto"/>
            <w:right w:val="single" w:sz="2" w:space="0" w:color="111111"/>
          </w:divBdr>
          <w:divsChild>
            <w:div w:id="3869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925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Turabian Footnotes</vt:lpstr>
    </vt:vector>
  </TitlesOfParts>
  <Company>Union College</Company>
  <LinksUpToDate>false</LinksUpToDate>
  <CharactersWithSpaces>6590</CharactersWithSpaces>
  <SharedDoc>false</SharedDoc>
  <HLinks>
    <vt:vector size="6" baseType="variant">
      <vt:variant>
        <vt:i4>2293826</vt:i4>
      </vt:variant>
      <vt:variant>
        <vt:i4>0</vt:i4>
      </vt:variant>
      <vt:variant>
        <vt:i4>0</vt:i4>
      </vt:variant>
      <vt:variant>
        <vt:i4>5</vt:i4>
      </vt:variant>
      <vt:variant>
        <vt:lpwstr>https://www.chicagomanualofstyle.org/turabian/turabian-notes-and-bibliography-citation-quick-guide.html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Turabian Footnotes</dc:title>
  <dc:subject/>
  <dc:creator>Tanya Cochran</dc:creator>
  <cp:keywords/>
  <cp:lastModifiedBy>Matthews, Jana</cp:lastModifiedBy>
  <cp:revision>19</cp:revision>
  <cp:lastPrinted>2024-08-21T19:24:00Z</cp:lastPrinted>
  <dcterms:created xsi:type="dcterms:W3CDTF">2023-11-13T14:59:00Z</dcterms:created>
  <dcterms:modified xsi:type="dcterms:W3CDTF">2025-08-14T18:41:00Z</dcterms:modified>
</cp:coreProperties>
</file>